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309B" w14:textId="6C2A55E6" w:rsidR="009C57B1" w:rsidRDefault="009C57B1" w:rsidP="009C57B1">
      <w:pPr>
        <w:pStyle w:val="Heading1"/>
        <w:jc w:val="center"/>
        <w:rPr>
          <w:rFonts w:asciiTheme="minorHAnsi" w:hAnsiTheme="minorHAnsi"/>
        </w:rPr>
      </w:pPr>
      <w:r w:rsidRPr="005F3086">
        <w:rPr>
          <w:rFonts w:ascii="Calibri" w:hAnsi="Calibri" w:cs="Calibri"/>
          <w:noProof/>
          <w:sz w:val="20"/>
          <w:szCs w:val="20"/>
          <w:lang w:val="en-AU" w:eastAsia="en-AU"/>
        </w:rPr>
        <w:drawing>
          <wp:inline distT="0" distB="0" distL="0" distR="0" wp14:anchorId="2F2E5131" wp14:editId="1EED895D">
            <wp:extent cx="3121660" cy="1097280"/>
            <wp:effectExtent l="0" t="0" r="2540" b="7620"/>
            <wp:docPr id="1" name="Picture 1" descr="gastro-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tro-logo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D985" w14:textId="24944F40" w:rsidR="00F2317E" w:rsidRPr="000D2C89" w:rsidRDefault="004C132C" w:rsidP="0038416E">
      <w:pPr>
        <w:pStyle w:val="Heading1"/>
        <w:rPr>
          <w:rFonts w:asciiTheme="minorHAnsi" w:hAnsiTheme="minorHAnsi"/>
        </w:rPr>
      </w:pPr>
      <w:r w:rsidRPr="000D2C89">
        <w:rPr>
          <w:rFonts w:asciiTheme="minorHAnsi" w:hAnsiTheme="minorHAnsi"/>
        </w:rPr>
        <w:t>NZSG</w:t>
      </w:r>
      <w:r w:rsidR="00163241" w:rsidRPr="000D2C89">
        <w:rPr>
          <w:rFonts w:asciiTheme="minorHAnsi" w:hAnsiTheme="minorHAnsi"/>
        </w:rPr>
        <w:t xml:space="preserve"> response to:</w:t>
      </w:r>
    </w:p>
    <w:p w14:paraId="7FEA3FBE" w14:textId="03672B74" w:rsidR="004C132C" w:rsidRPr="000D2C89" w:rsidRDefault="004C132C" w:rsidP="0038416E">
      <w:pPr>
        <w:pStyle w:val="Heading1"/>
        <w:rPr>
          <w:rStyle w:val="markedcontent"/>
          <w:rFonts w:asciiTheme="minorHAnsi" w:hAnsiTheme="minorHAnsi"/>
          <w:b/>
        </w:rPr>
      </w:pPr>
      <w:r w:rsidRPr="000D2C89">
        <w:rPr>
          <w:rStyle w:val="markedcontent"/>
          <w:rFonts w:asciiTheme="minorHAnsi" w:hAnsiTheme="minorHAnsi"/>
          <w:b/>
        </w:rPr>
        <w:t xml:space="preserve">Third Primary Dose of the Pfizer/BioNTech Vaccine Policy Statement and Clinical Guidance </w:t>
      </w:r>
      <w:r w:rsidRPr="000D2C89">
        <w:rPr>
          <w:rFonts w:asciiTheme="minorHAnsi" w:hAnsiTheme="minorHAnsi"/>
          <w:b/>
        </w:rPr>
        <w:br/>
      </w:r>
      <w:r w:rsidRPr="000D2C89">
        <w:rPr>
          <w:rStyle w:val="markedcontent"/>
          <w:rFonts w:asciiTheme="minorHAnsi" w:hAnsiTheme="minorHAnsi"/>
          <w:b/>
        </w:rPr>
        <w:t xml:space="preserve">New Zealand COVID-19 Vaccine and Immunisation Programme </w:t>
      </w:r>
      <w:r w:rsidRPr="000D2C89">
        <w:rPr>
          <w:rFonts w:asciiTheme="minorHAnsi" w:hAnsiTheme="minorHAnsi"/>
          <w:b/>
        </w:rPr>
        <w:br/>
      </w:r>
      <w:r w:rsidRPr="000D2C89">
        <w:rPr>
          <w:rStyle w:val="markedcontent"/>
          <w:rFonts w:asciiTheme="minorHAnsi" w:hAnsiTheme="minorHAnsi"/>
          <w:b/>
        </w:rPr>
        <w:t>Version 2.0</w:t>
      </w:r>
    </w:p>
    <w:p w14:paraId="667B4A59" w14:textId="77777777" w:rsidR="0038416E" w:rsidRPr="000D2C89" w:rsidRDefault="0038416E" w:rsidP="0038416E"/>
    <w:p w14:paraId="711214F7" w14:textId="7A7152A3" w:rsidR="009B4823" w:rsidRPr="000D2C89" w:rsidRDefault="009B4823" w:rsidP="000D2C89">
      <w:pPr>
        <w:pStyle w:val="Heading2"/>
        <w:rPr>
          <w:rFonts w:asciiTheme="minorHAnsi" w:hAnsiTheme="minorHAnsi"/>
        </w:rPr>
      </w:pPr>
      <w:r w:rsidRPr="000D2C89">
        <w:rPr>
          <w:rFonts w:asciiTheme="minorHAnsi" w:hAnsiTheme="minorHAnsi"/>
        </w:rPr>
        <w:t>Dr Zo</w:t>
      </w:r>
      <w:r w:rsidR="0038416E" w:rsidRPr="000D2C89">
        <w:rPr>
          <w:rFonts w:asciiTheme="minorHAnsi" w:hAnsiTheme="minorHAnsi"/>
        </w:rPr>
        <w:t>ë</w:t>
      </w:r>
      <w:r w:rsidRPr="000D2C89">
        <w:rPr>
          <w:rFonts w:asciiTheme="minorHAnsi" w:hAnsiTheme="minorHAnsi"/>
        </w:rPr>
        <w:t xml:space="preserve"> Raos (gastroenterologist) President NZSG</w:t>
      </w:r>
    </w:p>
    <w:p w14:paraId="77442847" w14:textId="77777777" w:rsidR="000D2C89" w:rsidRPr="000D2C89" w:rsidRDefault="000D2C89" w:rsidP="0038416E"/>
    <w:p w14:paraId="096E65C5" w14:textId="1F1333E0" w:rsidR="009B4823" w:rsidRPr="000D2C89" w:rsidRDefault="00923D2D" w:rsidP="000D2C89">
      <w:pPr>
        <w:pStyle w:val="Heading2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Whakamihi</w:t>
      </w:r>
      <w:proofErr w:type="spellEnd"/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tautoko</w:t>
      </w:r>
      <w:proofErr w:type="spellEnd"/>
      <w:r w:rsidR="009B4823" w:rsidRPr="000D2C89">
        <w:rPr>
          <w:rFonts w:asciiTheme="minorHAnsi" w:hAnsiTheme="minorHAnsi"/>
        </w:rPr>
        <w:t xml:space="preserve"> to the following contributors:</w:t>
      </w:r>
    </w:p>
    <w:p w14:paraId="1B68661E" w14:textId="77777777" w:rsidR="000D2C89" w:rsidRPr="000D2C89" w:rsidRDefault="000D2C89" w:rsidP="000D2C89"/>
    <w:p w14:paraId="743973C7" w14:textId="56BF7167" w:rsidR="009B4823" w:rsidRPr="000D2C89" w:rsidRDefault="009B4823" w:rsidP="000D2C89">
      <w:pPr>
        <w:pStyle w:val="Heading2"/>
        <w:rPr>
          <w:rFonts w:asciiTheme="minorHAnsi" w:hAnsiTheme="minorHAnsi"/>
        </w:rPr>
      </w:pPr>
      <w:r w:rsidRPr="000D2C89">
        <w:rPr>
          <w:rFonts w:asciiTheme="minorHAnsi" w:hAnsiTheme="minorHAnsi"/>
        </w:rPr>
        <w:t>Prof. Andrew Day (paediatric gastroenterologist) Secretary NZSG</w:t>
      </w:r>
    </w:p>
    <w:p w14:paraId="48FCBB93" w14:textId="79607243" w:rsidR="009B4823" w:rsidRPr="000D2C89" w:rsidRDefault="009B4823" w:rsidP="000D2C89">
      <w:pPr>
        <w:pStyle w:val="Heading2"/>
        <w:rPr>
          <w:rFonts w:asciiTheme="minorHAnsi" w:hAnsiTheme="minorHAnsi"/>
        </w:rPr>
      </w:pPr>
      <w:r w:rsidRPr="000D2C89">
        <w:rPr>
          <w:rFonts w:asciiTheme="minorHAnsi" w:hAnsiTheme="minorHAnsi"/>
        </w:rPr>
        <w:t>Dr Russell Walmsley (gastroenterologist)</w:t>
      </w:r>
    </w:p>
    <w:p w14:paraId="100430E9" w14:textId="4D9572C3" w:rsidR="009B4823" w:rsidRPr="000D2C89" w:rsidRDefault="009B4823" w:rsidP="000D2C89">
      <w:pPr>
        <w:pStyle w:val="Heading2"/>
        <w:rPr>
          <w:rFonts w:asciiTheme="minorHAnsi" w:hAnsiTheme="minorHAnsi"/>
        </w:rPr>
      </w:pPr>
      <w:r w:rsidRPr="000D2C89">
        <w:rPr>
          <w:rFonts w:asciiTheme="minorHAnsi" w:hAnsiTheme="minorHAnsi"/>
        </w:rPr>
        <w:t>Prof. Murray Barclay (gastroenterologist)</w:t>
      </w:r>
    </w:p>
    <w:p w14:paraId="3C1B6BAA" w14:textId="69F3EB44" w:rsidR="009B4823" w:rsidRPr="000D2C89" w:rsidRDefault="009B4823" w:rsidP="000D2C89">
      <w:pPr>
        <w:pStyle w:val="Heading2"/>
        <w:rPr>
          <w:rFonts w:asciiTheme="minorHAnsi" w:hAnsiTheme="minorHAnsi"/>
        </w:rPr>
      </w:pPr>
      <w:r w:rsidRPr="000D2C89">
        <w:rPr>
          <w:rFonts w:asciiTheme="minorHAnsi" w:hAnsiTheme="minorHAnsi"/>
        </w:rPr>
        <w:t>Dr Anthony Jordan (immunologist)</w:t>
      </w:r>
    </w:p>
    <w:p w14:paraId="5DBB4456" w14:textId="77777777" w:rsidR="009B4823" w:rsidRPr="000D2C89" w:rsidRDefault="009B4823" w:rsidP="0038416E"/>
    <w:p w14:paraId="6FD071D0" w14:textId="0B501AAB" w:rsidR="004C132C" w:rsidRPr="000D2C89" w:rsidRDefault="0038416E" w:rsidP="000D2C89">
      <w:pPr>
        <w:pStyle w:val="Heading1"/>
        <w:rPr>
          <w:rStyle w:val="markedcontent"/>
          <w:rFonts w:asciiTheme="minorHAnsi" w:hAnsiTheme="minorHAnsi" w:cs="Arial"/>
          <w:sz w:val="26"/>
          <w:szCs w:val="26"/>
        </w:rPr>
      </w:pPr>
      <w:r w:rsidRPr="000D2C89">
        <w:rPr>
          <w:rStyle w:val="markedcontent"/>
          <w:rFonts w:asciiTheme="minorHAnsi" w:hAnsiTheme="minorHAnsi" w:cs="Arial"/>
          <w:sz w:val="26"/>
          <w:szCs w:val="26"/>
        </w:rPr>
        <w:t>Purpose of this response:</w:t>
      </w:r>
    </w:p>
    <w:p w14:paraId="13364E21" w14:textId="18665095" w:rsidR="005A6727" w:rsidRPr="000D2C89" w:rsidRDefault="006437AB" w:rsidP="004C132C">
      <w:pPr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The COVID-19 vaccine is safe and effective, including for people taking immune suppressive therapies. NZSG encourages all gastroenterology patients to receive their first and second vaccine dose. </w:t>
      </w:r>
      <w:r w:rsidR="004C132C" w:rsidRPr="000D2C89">
        <w:rPr>
          <w:rStyle w:val="markedcontent"/>
          <w:rFonts w:cs="Arial"/>
          <w:sz w:val="24"/>
          <w:szCs w:val="24"/>
        </w:rPr>
        <w:t xml:space="preserve">NZSG acknowledges and appreciates the </w:t>
      </w:r>
      <w:r w:rsidR="005A6727" w:rsidRPr="000D2C89">
        <w:rPr>
          <w:rStyle w:val="markedcontent"/>
          <w:rFonts w:cs="Arial"/>
          <w:sz w:val="24"/>
          <w:szCs w:val="24"/>
        </w:rPr>
        <w:t xml:space="preserve">Ministry of Health </w:t>
      </w:r>
      <w:r w:rsidR="004C132C" w:rsidRPr="000D2C89">
        <w:rPr>
          <w:rStyle w:val="markedcontent"/>
          <w:rFonts w:cs="Arial"/>
          <w:sz w:val="24"/>
          <w:szCs w:val="24"/>
        </w:rPr>
        <w:t xml:space="preserve">policy to offer a </w:t>
      </w:r>
      <w:r w:rsidR="005A6727" w:rsidRPr="000D2C89">
        <w:rPr>
          <w:rStyle w:val="markedcontent"/>
          <w:rFonts w:cs="Arial"/>
          <w:sz w:val="24"/>
          <w:szCs w:val="24"/>
        </w:rPr>
        <w:t>Third Primary Dose</w:t>
      </w:r>
      <w:r w:rsidR="004C132C" w:rsidRPr="000D2C89">
        <w:rPr>
          <w:rStyle w:val="markedcontent"/>
          <w:rFonts w:cs="Arial"/>
          <w:sz w:val="24"/>
          <w:szCs w:val="24"/>
        </w:rPr>
        <w:t xml:space="preserve"> </w:t>
      </w:r>
      <w:r w:rsidR="005A6727" w:rsidRPr="000D2C89">
        <w:rPr>
          <w:rStyle w:val="markedcontent"/>
          <w:rFonts w:cs="Arial"/>
          <w:sz w:val="24"/>
          <w:szCs w:val="24"/>
        </w:rPr>
        <w:t>of the Pfizer COVID-19 vaccine</w:t>
      </w:r>
      <w:r w:rsidR="004C132C" w:rsidRPr="000D2C89">
        <w:rPr>
          <w:rStyle w:val="markedcontent"/>
          <w:rFonts w:cs="Arial"/>
          <w:sz w:val="24"/>
          <w:szCs w:val="24"/>
        </w:rPr>
        <w:t xml:space="preserve"> to </w:t>
      </w:r>
      <w:r w:rsidR="004A7B71" w:rsidRPr="000D2C89">
        <w:rPr>
          <w:rStyle w:val="markedcontent"/>
          <w:rFonts w:cs="Arial"/>
          <w:sz w:val="24"/>
          <w:szCs w:val="24"/>
        </w:rPr>
        <w:t xml:space="preserve">people who are </w:t>
      </w:r>
      <w:r>
        <w:rPr>
          <w:rStyle w:val="markedcontent"/>
          <w:rFonts w:cs="Arial"/>
          <w:sz w:val="24"/>
          <w:szCs w:val="24"/>
        </w:rPr>
        <w:t xml:space="preserve">immune </w:t>
      </w:r>
      <w:r w:rsidR="004C132C" w:rsidRPr="000D2C89">
        <w:rPr>
          <w:rStyle w:val="markedcontent"/>
          <w:rFonts w:cs="Arial"/>
          <w:sz w:val="24"/>
          <w:szCs w:val="24"/>
        </w:rPr>
        <w:t>compromised,</w:t>
      </w:r>
      <w:r w:rsidR="005A6727" w:rsidRPr="000D2C89">
        <w:rPr>
          <w:rStyle w:val="markedcontent"/>
          <w:rFonts w:cs="Arial"/>
          <w:sz w:val="24"/>
          <w:szCs w:val="24"/>
        </w:rPr>
        <w:t xml:space="preserve"> in order</w:t>
      </w:r>
      <w:r w:rsidR="004C132C" w:rsidRPr="000D2C89">
        <w:rPr>
          <w:rStyle w:val="markedcontent"/>
          <w:rFonts w:cs="Arial"/>
          <w:sz w:val="24"/>
          <w:szCs w:val="24"/>
        </w:rPr>
        <w:t xml:space="preserve"> to increase antibody titres </w:t>
      </w:r>
      <w:r w:rsidR="005A6727" w:rsidRPr="000D2C89">
        <w:rPr>
          <w:rStyle w:val="markedcontent"/>
          <w:rFonts w:cs="Arial"/>
          <w:sz w:val="24"/>
          <w:szCs w:val="24"/>
        </w:rPr>
        <w:t xml:space="preserve">for people </w:t>
      </w:r>
      <w:r w:rsidR="004C132C" w:rsidRPr="000D2C89">
        <w:rPr>
          <w:rStyle w:val="markedcontent"/>
          <w:rFonts w:cs="Arial"/>
          <w:sz w:val="24"/>
          <w:szCs w:val="24"/>
        </w:rPr>
        <w:t>who may have low</w:t>
      </w:r>
      <w:r>
        <w:rPr>
          <w:rStyle w:val="markedcontent"/>
          <w:rFonts w:cs="Arial"/>
          <w:sz w:val="24"/>
          <w:szCs w:val="24"/>
        </w:rPr>
        <w:t>er</w:t>
      </w:r>
      <w:r w:rsidR="004C132C" w:rsidRPr="000D2C89">
        <w:rPr>
          <w:rStyle w:val="markedcontent"/>
          <w:rFonts w:cs="Arial"/>
          <w:sz w:val="24"/>
          <w:szCs w:val="24"/>
        </w:rPr>
        <w:t xml:space="preserve"> titres from the first two vaccines.</w:t>
      </w:r>
      <w:r w:rsidR="00163241" w:rsidRPr="000D2C89">
        <w:rPr>
          <w:rStyle w:val="markedcontent"/>
          <w:rFonts w:cs="Arial"/>
          <w:sz w:val="24"/>
          <w:szCs w:val="24"/>
        </w:rPr>
        <w:t xml:space="preserve"> </w:t>
      </w:r>
      <w:r w:rsidR="00140BC2" w:rsidRPr="000D2C89">
        <w:rPr>
          <w:rStyle w:val="markedcontent"/>
          <w:rFonts w:cs="Arial"/>
          <w:sz w:val="24"/>
          <w:szCs w:val="24"/>
        </w:rPr>
        <w:t>It is important to offer a united approach in the fight against COVID-19</w:t>
      </w:r>
      <w:r w:rsidR="005A6727" w:rsidRPr="000D2C89">
        <w:rPr>
          <w:rStyle w:val="markedcontent"/>
          <w:rFonts w:cs="Arial"/>
          <w:sz w:val="24"/>
          <w:szCs w:val="24"/>
        </w:rPr>
        <w:t>, as well as offer specialist knowledge</w:t>
      </w:r>
      <w:r w:rsidR="0038416E" w:rsidRPr="000D2C89">
        <w:rPr>
          <w:rStyle w:val="markedcontent"/>
          <w:rFonts w:cs="Arial"/>
          <w:sz w:val="24"/>
          <w:szCs w:val="24"/>
        </w:rPr>
        <w:t>, reassurance</w:t>
      </w:r>
      <w:r w:rsidR="005A6727" w:rsidRPr="000D2C89">
        <w:rPr>
          <w:rStyle w:val="markedcontent"/>
          <w:rFonts w:cs="Arial"/>
          <w:sz w:val="24"/>
          <w:szCs w:val="24"/>
        </w:rPr>
        <w:t xml:space="preserve"> and expertise</w:t>
      </w:r>
      <w:r>
        <w:rPr>
          <w:rStyle w:val="markedcontent"/>
          <w:rFonts w:cs="Arial"/>
          <w:sz w:val="24"/>
          <w:szCs w:val="24"/>
        </w:rPr>
        <w:t xml:space="preserve"> which is the primary purpose of this document</w:t>
      </w:r>
      <w:r w:rsidR="005A6727" w:rsidRPr="000D2C89">
        <w:rPr>
          <w:rStyle w:val="markedcontent"/>
          <w:rFonts w:cs="Arial"/>
          <w:sz w:val="24"/>
          <w:szCs w:val="24"/>
        </w:rPr>
        <w:t>.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14:paraId="6BFA8716" w14:textId="4FD4C916" w:rsidR="006437AB" w:rsidRPr="000D2C89" w:rsidRDefault="00341168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NZSG represents specialists who </w:t>
      </w:r>
      <w:r w:rsidR="00163241" w:rsidRPr="000D2C89">
        <w:rPr>
          <w:rStyle w:val="markedcontent"/>
          <w:rFonts w:cs="Arial"/>
          <w:sz w:val="24"/>
          <w:szCs w:val="24"/>
        </w:rPr>
        <w:t>provide care for many patients living with Inflammatory Bowel Disease</w:t>
      </w:r>
      <w:r w:rsidR="0057611A" w:rsidRPr="000D2C89">
        <w:rPr>
          <w:rStyle w:val="markedcontent"/>
          <w:rFonts w:cs="Arial"/>
          <w:sz w:val="24"/>
          <w:szCs w:val="24"/>
        </w:rPr>
        <w:t xml:space="preserve"> (IBD)</w:t>
      </w:r>
      <w:r w:rsidR="00163241" w:rsidRPr="000D2C89">
        <w:rPr>
          <w:rStyle w:val="markedcontent"/>
          <w:rFonts w:cs="Arial"/>
          <w:sz w:val="24"/>
          <w:szCs w:val="24"/>
        </w:rPr>
        <w:t>, Auto Immune Liver Diseases</w:t>
      </w:r>
      <w:r w:rsidR="005A6727" w:rsidRPr="000D2C89">
        <w:rPr>
          <w:rStyle w:val="markedcontent"/>
          <w:rFonts w:cs="Arial"/>
          <w:sz w:val="24"/>
          <w:szCs w:val="24"/>
        </w:rPr>
        <w:t xml:space="preserve"> and</w:t>
      </w:r>
      <w:r w:rsidR="00163241" w:rsidRPr="000D2C89">
        <w:rPr>
          <w:rStyle w:val="markedcontent"/>
          <w:rFonts w:cs="Arial"/>
          <w:sz w:val="24"/>
          <w:szCs w:val="24"/>
        </w:rPr>
        <w:t xml:space="preserve"> </w:t>
      </w:r>
      <w:r w:rsidR="0057611A" w:rsidRPr="000D2C89">
        <w:rPr>
          <w:rStyle w:val="markedcontent"/>
          <w:rFonts w:cs="Arial"/>
          <w:sz w:val="24"/>
          <w:szCs w:val="24"/>
        </w:rPr>
        <w:t xml:space="preserve">Orthoptic </w:t>
      </w:r>
      <w:r w:rsidR="00163241" w:rsidRPr="000D2C89">
        <w:rPr>
          <w:rStyle w:val="markedcontent"/>
          <w:rFonts w:cs="Arial"/>
          <w:sz w:val="24"/>
          <w:szCs w:val="24"/>
        </w:rPr>
        <w:t>Liver Transplant</w:t>
      </w:r>
      <w:r w:rsidR="0057611A" w:rsidRPr="000D2C89">
        <w:rPr>
          <w:rStyle w:val="markedcontent"/>
          <w:rFonts w:cs="Arial"/>
          <w:sz w:val="24"/>
          <w:szCs w:val="24"/>
        </w:rPr>
        <w:t xml:space="preserve"> (OLT)</w:t>
      </w:r>
      <w:r w:rsidRPr="000D2C89">
        <w:rPr>
          <w:rStyle w:val="markedcontent"/>
          <w:rFonts w:cs="Arial"/>
          <w:sz w:val="24"/>
          <w:szCs w:val="24"/>
        </w:rPr>
        <w:t>.</w:t>
      </w:r>
      <w:r w:rsidR="00140BC2" w:rsidRPr="000D2C89">
        <w:rPr>
          <w:rStyle w:val="markedcontent"/>
          <w:rFonts w:cs="Arial"/>
          <w:sz w:val="24"/>
          <w:szCs w:val="24"/>
        </w:rPr>
        <w:t xml:space="preserve"> </w:t>
      </w:r>
      <w:r w:rsidR="005A6727" w:rsidRPr="000D2C89">
        <w:rPr>
          <w:rStyle w:val="markedcontent"/>
          <w:rFonts w:cs="Arial"/>
          <w:sz w:val="24"/>
          <w:szCs w:val="24"/>
        </w:rPr>
        <w:t>This document is to provide practical assistance to our members, as well as other professionals who work with us to care for patients receiving immune suppression for gastroenterology conditions.</w:t>
      </w:r>
    </w:p>
    <w:p w14:paraId="3BDC28AC" w14:textId="591C16AD" w:rsidR="004C132C" w:rsidRPr="000D2C89" w:rsidRDefault="004C132C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We note the following</w:t>
      </w:r>
      <w:r w:rsidR="0038416E" w:rsidRPr="000D2C89">
        <w:rPr>
          <w:rStyle w:val="markedcontent"/>
          <w:rFonts w:cs="Arial"/>
          <w:sz w:val="24"/>
          <w:szCs w:val="24"/>
        </w:rPr>
        <w:t xml:space="preserve"> from the guideline</w:t>
      </w:r>
      <w:r w:rsidRPr="000D2C89">
        <w:rPr>
          <w:rStyle w:val="markedcontent"/>
          <w:rFonts w:cs="Arial"/>
          <w:sz w:val="24"/>
          <w:szCs w:val="24"/>
        </w:rPr>
        <w:t>:</w:t>
      </w:r>
    </w:p>
    <w:p w14:paraId="11A45399" w14:textId="15A602AB" w:rsidR="004C132C" w:rsidRPr="000D2C89" w:rsidRDefault="005A6727" w:rsidP="004C132C">
      <w:pPr>
        <w:pStyle w:val="ListParagraph"/>
        <w:numPr>
          <w:ilvl w:val="0"/>
          <w:numId w:val="1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lastRenderedPageBreak/>
        <w:t>T</w:t>
      </w:r>
      <w:r w:rsidR="004C132C" w:rsidRPr="000D2C89">
        <w:rPr>
          <w:rStyle w:val="markedcontent"/>
          <w:rFonts w:cs="Arial"/>
          <w:sz w:val="24"/>
          <w:szCs w:val="24"/>
        </w:rPr>
        <w:t xml:space="preserve">hat the additional third </w:t>
      </w:r>
      <w:r w:rsidR="003C0853" w:rsidRPr="000D2C89">
        <w:rPr>
          <w:rStyle w:val="markedcontent"/>
          <w:rFonts w:cs="Arial"/>
          <w:sz w:val="24"/>
          <w:szCs w:val="24"/>
        </w:rPr>
        <w:t xml:space="preserve">primary </w:t>
      </w:r>
      <w:r w:rsidR="0038416E" w:rsidRPr="000D2C89">
        <w:rPr>
          <w:rStyle w:val="markedcontent"/>
          <w:rFonts w:cs="Arial"/>
          <w:sz w:val="24"/>
          <w:szCs w:val="24"/>
        </w:rPr>
        <w:t xml:space="preserve">COVID-19 vaccination </w:t>
      </w:r>
      <w:r w:rsidR="004C132C" w:rsidRPr="000D2C89">
        <w:rPr>
          <w:rStyle w:val="markedcontent"/>
          <w:rFonts w:cs="Arial"/>
          <w:sz w:val="24"/>
          <w:szCs w:val="24"/>
        </w:rPr>
        <w:t xml:space="preserve">dose should be administered </w:t>
      </w:r>
      <w:r w:rsidR="004A7B71" w:rsidRPr="000D2C89">
        <w:rPr>
          <w:rStyle w:val="markedcontent"/>
          <w:rFonts w:cs="Arial"/>
          <w:sz w:val="24"/>
          <w:szCs w:val="24"/>
        </w:rPr>
        <w:t>at least</w:t>
      </w:r>
      <w:r w:rsidR="004C132C" w:rsidRPr="000D2C89">
        <w:rPr>
          <w:rStyle w:val="markedcontent"/>
          <w:rFonts w:cs="Arial"/>
          <w:sz w:val="24"/>
          <w:szCs w:val="24"/>
        </w:rPr>
        <w:t xml:space="preserve"> 8 weeks after the second dose, </w:t>
      </w:r>
    </w:p>
    <w:p w14:paraId="5D23ABBA" w14:textId="4FE72EEE" w:rsidR="004C132C" w:rsidRPr="000D2C89" w:rsidRDefault="0031610F" w:rsidP="004C132C">
      <w:pPr>
        <w:pStyle w:val="ListParagraph"/>
        <w:numPr>
          <w:ilvl w:val="0"/>
          <w:numId w:val="1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S</w:t>
      </w:r>
      <w:r w:rsidR="004C132C" w:rsidRPr="000D2C89">
        <w:rPr>
          <w:rStyle w:val="markedcontent"/>
          <w:rFonts w:cs="Arial"/>
          <w:sz w:val="24"/>
          <w:szCs w:val="24"/>
        </w:rPr>
        <w:t xml:space="preserve">pecial attention </w:t>
      </w:r>
      <w:r w:rsidRPr="000D2C89">
        <w:rPr>
          <w:rStyle w:val="markedcontent"/>
          <w:rFonts w:cs="Arial"/>
          <w:sz w:val="24"/>
          <w:szCs w:val="24"/>
        </w:rPr>
        <w:t xml:space="preserve">needs to be </w:t>
      </w:r>
      <w:r w:rsidR="004C132C" w:rsidRPr="000D2C89">
        <w:rPr>
          <w:rStyle w:val="markedcontent"/>
          <w:rFonts w:cs="Arial"/>
          <w:sz w:val="24"/>
          <w:szCs w:val="24"/>
        </w:rPr>
        <w:t>paid to current or planned immune suppressive therapies (ideally, delay</w:t>
      </w:r>
      <w:r w:rsidR="004A7B71" w:rsidRPr="000D2C89">
        <w:rPr>
          <w:rStyle w:val="markedcontent"/>
          <w:rFonts w:cs="Arial"/>
          <w:sz w:val="24"/>
          <w:szCs w:val="24"/>
        </w:rPr>
        <w:t xml:space="preserve"> the third vaccine</w:t>
      </w:r>
      <w:r w:rsidR="004C132C" w:rsidRPr="000D2C89">
        <w:rPr>
          <w:rStyle w:val="markedcontent"/>
          <w:rFonts w:cs="Arial"/>
          <w:sz w:val="24"/>
          <w:szCs w:val="24"/>
        </w:rPr>
        <w:t xml:space="preserve"> </w:t>
      </w:r>
      <w:r w:rsidR="0057611A" w:rsidRPr="000D2C89">
        <w:rPr>
          <w:rStyle w:val="markedcontent"/>
          <w:rFonts w:cs="Arial"/>
          <w:sz w:val="24"/>
          <w:szCs w:val="24"/>
        </w:rPr>
        <w:t xml:space="preserve">for at least </w:t>
      </w:r>
      <w:r w:rsidR="004C132C" w:rsidRPr="000D2C89">
        <w:rPr>
          <w:rStyle w:val="markedcontent"/>
          <w:rFonts w:cs="Arial"/>
          <w:sz w:val="24"/>
          <w:szCs w:val="24"/>
        </w:rPr>
        <w:t xml:space="preserve">2 weeks after the period of immune suppression, in addition to time for clearance of the therapeutic agent). </w:t>
      </w:r>
    </w:p>
    <w:p w14:paraId="113ED311" w14:textId="0C5CD5EF" w:rsidR="004C132C" w:rsidRPr="000D2C89" w:rsidRDefault="004C132C" w:rsidP="004C132C">
      <w:pPr>
        <w:pStyle w:val="ListParagraph"/>
        <w:numPr>
          <w:ilvl w:val="0"/>
          <w:numId w:val="1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If not possible</w:t>
      </w:r>
      <w:r w:rsidR="0031610F" w:rsidRPr="000D2C89">
        <w:rPr>
          <w:rStyle w:val="markedcontent"/>
          <w:rFonts w:cs="Arial"/>
          <w:sz w:val="24"/>
          <w:szCs w:val="24"/>
        </w:rPr>
        <w:t>,</w:t>
      </w:r>
      <w:r w:rsidRPr="000D2C89">
        <w:rPr>
          <w:rStyle w:val="markedcontent"/>
          <w:rFonts w:cs="Arial"/>
          <w:sz w:val="24"/>
          <w:szCs w:val="24"/>
        </w:rPr>
        <w:t xml:space="preserve"> consideration should be given to vaccination during a treatment</w:t>
      </w:r>
      <w:r w:rsidR="0031610F" w:rsidRPr="000D2C89">
        <w:rPr>
          <w:rStyle w:val="markedcontent"/>
          <w:rFonts w:cs="Arial"/>
          <w:sz w:val="24"/>
          <w:szCs w:val="24"/>
        </w:rPr>
        <w:t xml:space="preserve"> </w:t>
      </w:r>
      <w:r w:rsidRPr="000D2C89">
        <w:rPr>
          <w:rStyle w:val="markedcontent"/>
          <w:rFonts w:cs="Arial"/>
          <w:sz w:val="24"/>
          <w:szCs w:val="24"/>
        </w:rPr>
        <w:t xml:space="preserve">holiday or </w:t>
      </w:r>
      <w:r w:rsidR="006437AB">
        <w:rPr>
          <w:rStyle w:val="markedcontent"/>
          <w:rFonts w:cs="Arial"/>
          <w:sz w:val="24"/>
          <w:szCs w:val="24"/>
        </w:rPr>
        <w:t>…</w:t>
      </w:r>
    </w:p>
    <w:p w14:paraId="5AC73979" w14:textId="57BABF34" w:rsidR="004C132C" w:rsidRPr="000D2C89" w:rsidRDefault="003C0853" w:rsidP="004C132C">
      <w:pPr>
        <w:pStyle w:val="ListParagraph"/>
        <w:numPr>
          <w:ilvl w:val="0"/>
          <w:numId w:val="1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A</w:t>
      </w:r>
      <w:r w:rsidR="004C132C" w:rsidRPr="000D2C89">
        <w:rPr>
          <w:rStyle w:val="markedcontent"/>
          <w:rFonts w:cs="Arial"/>
          <w:sz w:val="24"/>
          <w:szCs w:val="24"/>
        </w:rPr>
        <w:t>t a nadir of immunosuppression between doses of treatment.</w:t>
      </w:r>
    </w:p>
    <w:p w14:paraId="1CC1227D" w14:textId="465E4FAB" w:rsidR="000D55C2" w:rsidRPr="00A64D32" w:rsidRDefault="004C132C" w:rsidP="000D55C2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We offer input particularly for </w:t>
      </w:r>
      <w:r w:rsidR="005A6727" w:rsidRPr="000D2C89">
        <w:rPr>
          <w:rStyle w:val="markedcontent"/>
          <w:rFonts w:cs="Arial"/>
          <w:sz w:val="24"/>
          <w:szCs w:val="24"/>
        </w:rPr>
        <w:t xml:space="preserve">3.3, where the NZSG </w:t>
      </w:r>
      <w:r w:rsidR="0057611A" w:rsidRPr="000D2C89">
        <w:rPr>
          <w:rStyle w:val="markedcontent"/>
          <w:rFonts w:cs="Arial"/>
          <w:sz w:val="24"/>
          <w:szCs w:val="24"/>
        </w:rPr>
        <w:t>offer</w:t>
      </w:r>
      <w:r w:rsidR="0038416E" w:rsidRPr="000D2C89">
        <w:rPr>
          <w:rStyle w:val="markedcontent"/>
          <w:rFonts w:cs="Arial"/>
          <w:sz w:val="24"/>
          <w:szCs w:val="24"/>
        </w:rPr>
        <w:t>s</w:t>
      </w:r>
      <w:r w:rsidR="003C0853" w:rsidRPr="000D2C89">
        <w:rPr>
          <w:rStyle w:val="markedcontent"/>
          <w:rFonts w:cs="Arial"/>
          <w:sz w:val="24"/>
          <w:szCs w:val="24"/>
        </w:rPr>
        <w:t xml:space="preserve"> pragmatic </w:t>
      </w:r>
      <w:r w:rsidR="0057611A" w:rsidRPr="000D2C89">
        <w:rPr>
          <w:rStyle w:val="markedcontent"/>
          <w:rFonts w:cs="Arial"/>
          <w:sz w:val="24"/>
          <w:szCs w:val="24"/>
        </w:rPr>
        <w:t>information</w:t>
      </w:r>
      <w:r w:rsidR="000D55C2">
        <w:rPr>
          <w:rStyle w:val="markedcontent"/>
          <w:rFonts w:cs="Arial"/>
          <w:sz w:val="24"/>
          <w:szCs w:val="24"/>
        </w:rPr>
        <w:t xml:space="preserve"> on drug dosing</w:t>
      </w:r>
      <w:r w:rsidR="0057611A" w:rsidRPr="000D2C89">
        <w:rPr>
          <w:rStyle w:val="markedcontent"/>
          <w:rFonts w:cs="Arial"/>
          <w:sz w:val="24"/>
          <w:szCs w:val="24"/>
        </w:rPr>
        <w:t xml:space="preserve"> to support the </w:t>
      </w:r>
      <w:r w:rsidR="00A64D32">
        <w:rPr>
          <w:rStyle w:val="markedcontent"/>
          <w:rFonts w:cs="Arial"/>
          <w:sz w:val="24"/>
          <w:szCs w:val="24"/>
        </w:rPr>
        <w:t>Policy Statement</w:t>
      </w:r>
      <w:r w:rsidRPr="000D2C89">
        <w:rPr>
          <w:rStyle w:val="markedcontent"/>
          <w:rFonts w:cs="Arial"/>
          <w:sz w:val="24"/>
          <w:szCs w:val="24"/>
        </w:rPr>
        <w:t xml:space="preserve">. </w:t>
      </w:r>
    </w:p>
    <w:p w14:paraId="7AAAFCBE" w14:textId="52AABEED" w:rsidR="00C44A5F" w:rsidRPr="000D2C89" w:rsidRDefault="000D55C2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A further goal is to share this mahi e </w:t>
      </w:r>
      <w:proofErr w:type="spellStart"/>
      <w:r w:rsidRPr="000D2C89">
        <w:rPr>
          <w:rStyle w:val="markedcontent"/>
          <w:rFonts w:cs="Arial"/>
          <w:sz w:val="24"/>
          <w:szCs w:val="24"/>
        </w:rPr>
        <w:t>kaupapa</w:t>
      </w:r>
      <w:proofErr w:type="spellEnd"/>
      <w:r w:rsidRPr="000D2C89">
        <w:rPr>
          <w:rStyle w:val="markedcontent"/>
          <w:rFonts w:cs="Arial"/>
          <w:sz w:val="24"/>
          <w:szCs w:val="24"/>
        </w:rPr>
        <w:t xml:space="preserve"> with </w:t>
      </w:r>
      <w:r w:rsidR="006437AB">
        <w:rPr>
          <w:rStyle w:val="markedcontent"/>
          <w:rFonts w:cs="Arial"/>
          <w:sz w:val="24"/>
          <w:szCs w:val="24"/>
        </w:rPr>
        <w:t xml:space="preserve">individuals and organisations </w:t>
      </w:r>
      <w:r w:rsidRPr="000D2C89">
        <w:rPr>
          <w:rStyle w:val="markedcontent"/>
          <w:rFonts w:cs="Arial"/>
          <w:sz w:val="24"/>
          <w:szCs w:val="24"/>
        </w:rPr>
        <w:t>who share the care of patients with Gastroenterology conditions receiving immunosuppressive therapies.</w:t>
      </w:r>
    </w:p>
    <w:p w14:paraId="48176790" w14:textId="77777777" w:rsidR="003C0853" w:rsidRPr="000D2C89" w:rsidRDefault="003C0853" w:rsidP="000D2C89">
      <w:pPr>
        <w:pStyle w:val="Heading1"/>
        <w:rPr>
          <w:rStyle w:val="markedcontent"/>
          <w:rFonts w:asciiTheme="minorHAnsi" w:hAnsiTheme="minorHAnsi"/>
        </w:rPr>
      </w:pPr>
      <w:r w:rsidRPr="000D2C89">
        <w:rPr>
          <w:rStyle w:val="markedcontent"/>
          <w:rFonts w:asciiTheme="minorHAnsi" w:hAnsiTheme="minorHAnsi"/>
        </w:rPr>
        <w:t>Practical points for the implementation of the Third Primary COVID-19 vaccine dose</w:t>
      </w:r>
    </w:p>
    <w:p w14:paraId="44ECD6E7" w14:textId="77777777" w:rsidR="003C0853" w:rsidRPr="000D2C89" w:rsidRDefault="003C0853" w:rsidP="003C0853">
      <w:pPr>
        <w:pStyle w:val="Heading1"/>
        <w:rPr>
          <w:rStyle w:val="markedcontent"/>
          <w:rFonts w:asciiTheme="minorHAnsi" w:hAnsiTheme="minorHAnsi"/>
        </w:rPr>
      </w:pPr>
      <w:r w:rsidRPr="000D2C89">
        <w:rPr>
          <w:rStyle w:val="markedcontent"/>
          <w:rFonts w:asciiTheme="minorHAnsi" w:hAnsiTheme="minorHAnsi"/>
        </w:rPr>
        <w:t>Challenges:</w:t>
      </w:r>
    </w:p>
    <w:p w14:paraId="4CFD42B8" w14:textId="1EBA85E4" w:rsidR="003C0853" w:rsidRPr="000D2C89" w:rsidRDefault="003C0853" w:rsidP="003C0853">
      <w:pPr>
        <w:pStyle w:val="ListParagraph"/>
        <w:numPr>
          <w:ilvl w:val="0"/>
          <w:numId w:val="2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Identification of </w:t>
      </w:r>
      <w:r w:rsidR="004A7B71" w:rsidRPr="000D2C89">
        <w:rPr>
          <w:rStyle w:val="markedcontent"/>
          <w:rFonts w:cs="Arial"/>
          <w:sz w:val="24"/>
          <w:szCs w:val="24"/>
        </w:rPr>
        <w:t xml:space="preserve">patients with GI conditions receiving one or more immunosuppressive </w:t>
      </w:r>
      <w:r w:rsidRPr="000D2C89">
        <w:rPr>
          <w:rStyle w:val="markedcontent"/>
          <w:rFonts w:cs="Arial"/>
          <w:sz w:val="24"/>
          <w:szCs w:val="24"/>
        </w:rPr>
        <w:t xml:space="preserve"> medications and who meet criteria</w:t>
      </w:r>
    </w:p>
    <w:p w14:paraId="2AF56EC7" w14:textId="77777777" w:rsidR="003C0853" w:rsidRPr="000D2C89" w:rsidRDefault="003C0853" w:rsidP="003C0853">
      <w:pPr>
        <w:pStyle w:val="ListParagraph"/>
        <w:numPr>
          <w:ilvl w:val="0"/>
          <w:numId w:val="2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Communication with these patients </w:t>
      </w:r>
    </w:p>
    <w:p w14:paraId="24A78B48" w14:textId="77777777" w:rsidR="003C0853" w:rsidRPr="000D2C89" w:rsidRDefault="003C0853" w:rsidP="003C0853">
      <w:pPr>
        <w:pStyle w:val="ListParagraph"/>
        <w:numPr>
          <w:ilvl w:val="0"/>
          <w:numId w:val="2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Writing a prescription</w:t>
      </w:r>
    </w:p>
    <w:p w14:paraId="4A970B78" w14:textId="77777777" w:rsidR="003C0853" w:rsidRPr="000D2C89" w:rsidRDefault="003C0853" w:rsidP="003C0853">
      <w:pPr>
        <w:pStyle w:val="ListParagraph"/>
        <w:numPr>
          <w:ilvl w:val="0"/>
          <w:numId w:val="2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Completing the consent form</w:t>
      </w:r>
    </w:p>
    <w:p w14:paraId="1F9FCAEB" w14:textId="715BDB20" w:rsidR="003C0853" w:rsidRPr="000D2C89" w:rsidRDefault="003C0853" w:rsidP="003C0853">
      <w:pPr>
        <w:pStyle w:val="ListParagraph"/>
        <w:numPr>
          <w:ilvl w:val="0"/>
          <w:numId w:val="2"/>
        </w:num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Administration of the third COVID-19 vaccine dose </w:t>
      </w:r>
    </w:p>
    <w:p w14:paraId="5038686B" w14:textId="753ED4E0" w:rsidR="003C0853" w:rsidRPr="000D2C89" w:rsidRDefault="0038416E" w:rsidP="0038416E">
      <w:pPr>
        <w:pStyle w:val="Heading1"/>
        <w:rPr>
          <w:rStyle w:val="markedcontent"/>
          <w:rFonts w:asciiTheme="minorHAnsi" w:hAnsiTheme="minorHAnsi"/>
        </w:rPr>
      </w:pPr>
      <w:r w:rsidRPr="000D2C89">
        <w:rPr>
          <w:rStyle w:val="markedcontent"/>
          <w:rFonts w:asciiTheme="minorHAnsi" w:hAnsiTheme="minorHAnsi"/>
        </w:rPr>
        <w:t>Solutions:</w:t>
      </w:r>
    </w:p>
    <w:p w14:paraId="4FB96E56" w14:textId="6884856C" w:rsidR="009B4823" w:rsidRPr="000D2C89" w:rsidRDefault="003C0853" w:rsidP="003C0853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There will be local solutions to local problems. NZSG is keen to hear of local solutions, and to share these. </w:t>
      </w:r>
      <w:r w:rsidR="0057611A" w:rsidRPr="000D2C89">
        <w:rPr>
          <w:rStyle w:val="markedcontent"/>
          <w:rFonts w:cs="Arial"/>
          <w:sz w:val="24"/>
          <w:szCs w:val="24"/>
        </w:rPr>
        <w:t xml:space="preserve">Current understanding is that Primary Care General Practitioners will receive funding to </w:t>
      </w:r>
      <w:r w:rsidR="004D5CC2" w:rsidRPr="000D2C89">
        <w:rPr>
          <w:rStyle w:val="markedcontent"/>
          <w:rFonts w:cs="Arial"/>
          <w:sz w:val="24"/>
          <w:szCs w:val="24"/>
        </w:rPr>
        <w:t xml:space="preserve">consent for and </w:t>
      </w:r>
      <w:r w:rsidR="0057611A" w:rsidRPr="000D2C89">
        <w:rPr>
          <w:rStyle w:val="markedcontent"/>
          <w:rFonts w:cs="Arial"/>
          <w:sz w:val="24"/>
          <w:szCs w:val="24"/>
        </w:rPr>
        <w:t>provide the Third Primary COVID-19 vaccine dose.</w:t>
      </w:r>
    </w:p>
    <w:p w14:paraId="277E8D74" w14:textId="77777777" w:rsidR="00A64D32" w:rsidRDefault="00A64D32" w:rsidP="000D55C2">
      <w:pPr>
        <w:rPr>
          <w:rStyle w:val="markedcontent"/>
          <w:rFonts w:cs="Arial"/>
          <w:sz w:val="24"/>
          <w:szCs w:val="24"/>
        </w:rPr>
      </w:pPr>
    </w:p>
    <w:p w14:paraId="2B231FDA" w14:textId="1576D215" w:rsidR="00A64D32" w:rsidRDefault="00A64D32" w:rsidP="000D55C2">
      <w:pPr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Korero is encouraged and welcomed.</w:t>
      </w:r>
    </w:p>
    <w:p w14:paraId="6FF91722" w14:textId="7D89B8AC" w:rsidR="000D55C2" w:rsidRPr="000D2C89" w:rsidRDefault="000D55C2" w:rsidP="000D55C2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Please direct any korero / feedback regarding this draft guideline to: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0D2C89">
        <w:rPr>
          <w:rStyle w:val="markedcontent"/>
          <w:rFonts w:cs="Arial"/>
          <w:sz w:val="24"/>
          <w:szCs w:val="24"/>
        </w:rPr>
        <w:t>office@nzsg.org.nz</w:t>
      </w:r>
    </w:p>
    <w:p w14:paraId="3C819EB5" w14:textId="77777777" w:rsidR="00C44A5F" w:rsidRDefault="00C44A5F" w:rsidP="004C132C">
      <w:pPr>
        <w:rPr>
          <w:rStyle w:val="markedcontent"/>
          <w:rFonts w:cs="Arial"/>
          <w:sz w:val="26"/>
          <w:szCs w:val="26"/>
        </w:rPr>
      </w:pPr>
    </w:p>
    <w:p w14:paraId="53B25840" w14:textId="77777777" w:rsidR="00C44A5F" w:rsidRDefault="00C44A5F" w:rsidP="004C132C">
      <w:pPr>
        <w:rPr>
          <w:rStyle w:val="markedcontent"/>
          <w:rFonts w:cs="Arial"/>
          <w:sz w:val="26"/>
          <w:szCs w:val="26"/>
        </w:rPr>
      </w:pPr>
    </w:p>
    <w:p w14:paraId="2E208354" w14:textId="77777777" w:rsidR="000D55C2" w:rsidRDefault="000D55C2" w:rsidP="004C132C">
      <w:pPr>
        <w:rPr>
          <w:rStyle w:val="markedcontent"/>
          <w:rFonts w:cs="Arial"/>
          <w:sz w:val="26"/>
          <w:szCs w:val="26"/>
        </w:rPr>
      </w:pPr>
    </w:p>
    <w:p w14:paraId="1DA6B253" w14:textId="77777777" w:rsidR="006437AB" w:rsidRDefault="006437AB" w:rsidP="004C132C">
      <w:pPr>
        <w:rPr>
          <w:rStyle w:val="markedcontent"/>
          <w:rFonts w:cs="Arial"/>
          <w:sz w:val="26"/>
          <w:szCs w:val="26"/>
        </w:rPr>
      </w:pPr>
    </w:p>
    <w:p w14:paraId="1F13E3A9" w14:textId="77777777" w:rsidR="006437AB" w:rsidRDefault="006437AB" w:rsidP="004C132C">
      <w:pPr>
        <w:rPr>
          <w:rStyle w:val="markedcontent"/>
          <w:rFonts w:cs="Arial"/>
          <w:sz w:val="26"/>
          <w:szCs w:val="26"/>
        </w:rPr>
      </w:pPr>
    </w:p>
    <w:p w14:paraId="7BF06890" w14:textId="77777777" w:rsidR="00C44A5F" w:rsidRPr="000D2C89" w:rsidRDefault="00C44A5F" w:rsidP="004C132C">
      <w:pPr>
        <w:rPr>
          <w:rStyle w:val="markedcontent"/>
          <w:rFonts w:cs="Arial"/>
          <w:sz w:val="26"/>
          <w:szCs w:val="26"/>
        </w:rPr>
      </w:pPr>
    </w:p>
    <w:p w14:paraId="7D8D9251" w14:textId="2EDAEF81" w:rsidR="0038416E" w:rsidRPr="000D2C89" w:rsidRDefault="00C44A5F" w:rsidP="000D2C89">
      <w:pPr>
        <w:pStyle w:val="Title"/>
        <w:rPr>
          <w:rFonts w:asciiTheme="minorHAnsi" w:hAnsiTheme="minorHAnsi"/>
          <w:sz w:val="52"/>
          <w:szCs w:val="52"/>
        </w:rPr>
      </w:pPr>
      <w:r>
        <w:rPr>
          <w:rStyle w:val="TitleChar"/>
          <w:rFonts w:asciiTheme="minorHAnsi" w:hAnsiTheme="minorHAnsi"/>
          <w:sz w:val="52"/>
          <w:szCs w:val="52"/>
        </w:rPr>
        <w:t xml:space="preserve">Third Primary Dose of the COVID-19 vaccine: </w:t>
      </w:r>
      <w:r w:rsidR="005A6727" w:rsidRPr="000D2C89">
        <w:rPr>
          <w:rStyle w:val="TitleChar"/>
          <w:rFonts w:asciiTheme="minorHAnsi" w:hAnsiTheme="minorHAnsi"/>
          <w:sz w:val="52"/>
          <w:szCs w:val="52"/>
        </w:rPr>
        <w:t>Inclusion Criteria</w:t>
      </w:r>
      <w:r w:rsidR="000D2C89" w:rsidRPr="000D2C89">
        <w:rPr>
          <w:rStyle w:val="TitleChar"/>
          <w:rFonts w:asciiTheme="minorHAnsi" w:hAnsiTheme="minorHAnsi"/>
          <w:sz w:val="52"/>
          <w:szCs w:val="52"/>
        </w:rPr>
        <w:t xml:space="preserve"> with </w:t>
      </w:r>
      <w:r w:rsidR="004D5CC2" w:rsidRPr="000D2C89">
        <w:rPr>
          <w:rStyle w:val="TitleChar"/>
          <w:rFonts w:asciiTheme="minorHAnsi" w:hAnsiTheme="minorHAnsi"/>
          <w:sz w:val="52"/>
          <w:szCs w:val="52"/>
        </w:rPr>
        <w:t>NZSG Practice Points</w:t>
      </w:r>
      <w:r w:rsidR="005A6727" w:rsidRPr="000D2C89">
        <w:rPr>
          <w:rFonts w:asciiTheme="minorHAnsi" w:hAnsiTheme="minorHAnsi"/>
          <w:sz w:val="52"/>
          <w:szCs w:val="52"/>
        </w:rPr>
        <w:t xml:space="preserve"> </w:t>
      </w:r>
    </w:p>
    <w:p w14:paraId="22AAD3D1" w14:textId="77777777" w:rsidR="000D2C89" w:rsidRPr="000D2C89" w:rsidRDefault="000D2C89" w:rsidP="000D2C89"/>
    <w:p w14:paraId="2022E1EF" w14:textId="75425EE5" w:rsidR="00C44A5F" w:rsidRDefault="00C44A5F" w:rsidP="00C44A5F">
      <w:pPr>
        <w:pStyle w:val="Heading3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Key:</w:t>
      </w:r>
    </w:p>
    <w:p w14:paraId="75604E0E" w14:textId="04A6678B" w:rsidR="0038416E" w:rsidRPr="000D2C89" w:rsidRDefault="0038416E" w:rsidP="0038416E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In black are the MOH Inclusion Criteria relevant to Gastroenterology.</w:t>
      </w:r>
    </w:p>
    <w:p w14:paraId="34171A7F" w14:textId="3E1E4583" w:rsidR="0038416E" w:rsidRPr="000D2C89" w:rsidRDefault="0038416E" w:rsidP="0038416E">
      <w:pPr>
        <w:rPr>
          <w:i/>
          <w:iCs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In </w:t>
      </w:r>
      <w:r w:rsidRPr="000D2C89">
        <w:rPr>
          <w:rStyle w:val="markedcontent"/>
          <w:rFonts w:cs="Arial"/>
          <w:color w:val="0070C0"/>
          <w:sz w:val="24"/>
          <w:szCs w:val="24"/>
        </w:rPr>
        <w:t>blue</w:t>
      </w:r>
      <w:r w:rsidRPr="000D2C89">
        <w:rPr>
          <w:rStyle w:val="markedcontent"/>
          <w:rFonts w:cs="Arial"/>
          <w:sz w:val="24"/>
          <w:szCs w:val="24"/>
        </w:rPr>
        <w:t xml:space="preserve"> are specific guidance from NZSG for inclusion criteria</w:t>
      </w:r>
      <w:r w:rsidR="00C44A5F">
        <w:rPr>
          <w:rStyle w:val="markedcontent"/>
          <w:rFonts w:cs="Arial"/>
          <w:sz w:val="24"/>
          <w:szCs w:val="24"/>
        </w:rPr>
        <w:t xml:space="preserve"> relevant to gastroenterology</w:t>
      </w:r>
      <w:r w:rsidRPr="000D2C89">
        <w:rPr>
          <w:rStyle w:val="markedcontent"/>
          <w:rFonts w:cs="Arial"/>
          <w:sz w:val="24"/>
          <w:szCs w:val="24"/>
        </w:rPr>
        <w:t>.</w:t>
      </w:r>
    </w:p>
    <w:p w14:paraId="31E5FA70" w14:textId="68873650" w:rsidR="0057611A" w:rsidRPr="00AE4320" w:rsidRDefault="004C132C" w:rsidP="004C132C">
      <w:pPr>
        <w:rPr>
          <w:rStyle w:val="Heading1Char"/>
          <w:rFonts w:asciiTheme="minorHAnsi" w:eastAsiaTheme="minorHAnsi" w:hAnsiTheme="minorHAnsi" w:cs="Arial"/>
          <w:color w:val="auto"/>
          <w:sz w:val="24"/>
          <w:szCs w:val="24"/>
        </w:rPr>
      </w:pPr>
      <w:r w:rsidRPr="000D2C89">
        <w:br/>
      </w:r>
      <w:r w:rsidRPr="000D2C89">
        <w:br/>
      </w:r>
      <w:r w:rsidRPr="000D2C89">
        <w:rPr>
          <w:rStyle w:val="markedcontent"/>
          <w:rFonts w:cs="Arial"/>
          <w:sz w:val="32"/>
          <w:szCs w:val="32"/>
        </w:rPr>
        <w:t>2. Consumers on immunosuppressive or immunomodulating therapy at the time of vaccination</w:t>
      </w:r>
      <w:r w:rsidRPr="000D2C89">
        <w:rPr>
          <w:rStyle w:val="markedcontent"/>
          <w:rFonts w:cs="Arial"/>
          <w:sz w:val="38"/>
          <w:szCs w:val="38"/>
        </w:rPr>
        <w:t xml:space="preserve"> </w:t>
      </w:r>
      <w:r w:rsidRPr="000D2C89">
        <w:br/>
      </w:r>
      <w:r w:rsidRPr="000D2C89">
        <w:br/>
      </w:r>
      <w:r w:rsidRPr="000D2C89">
        <w:rPr>
          <w:rStyle w:val="markedcontent"/>
          <w:rFonts w:cs="Arial"/>
          <w:sz w:val="24"/>
          <w:szCs w:val="24"/>
        </w:rPr>
        <w:t xml:space="preserve">2.1 Those who were receiving or had received immunosuppressive therapy for a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b/>
          <w:bCs/>
          <w:sz w:val="24"/>
          <w:szCs w:val="24"/>
        </w:rPr>
        <w:t>solid organ transplant</w:t>
      </w:r>
      <w:r w:rsidRPr="000D2C89">
        <w:rPr>
          <w:rStyle w:val="markedcontent"/>
          <w:rFonts w:cs="Arial"/>
          <w:sz w:val="24"/>
          <w:szCs w:val="24"/>
        </w:rPr>
        <w:t xml:space="preserve"> in the previous six months. </w:t>
      </w:r>
    </w:p>
    <w:p w14:paraId="105A5BC7" w14:textId="2E67BEF0" w:rsidR="00341168" w:rsidRPr="00AE4320" w:rsidRDefault="00341168" w:rsidP="004C132C">
      <w:pPr>
        <w:rPr>
          <w:rStyle w:val="markedcontent"/>
          <w:rFonts w:eastAsiaTheme="majorEastAsia" w:cstheme="majorBidi"/>
          <w:color w:val="0070C0"/>
          <w:sz w:val="24"/>
          <w:szCs w:val="24"/>
        </w:rPr>
      </w:pPr>
      <w:r w:rsidRPr="000D2C89">
        <w:rPr>
          <w:rStyle w:val="Heading1Char"/>
          <w:rFonts w:asciiTheme="minorHAnsi" w:hAnsiTheme="minorHAnsi"/>
          <w:color w:val="0070C0"/>
          <w:sz w:val="24"/>
          <w:szCs w:val="24"/>
        </w:rPr>
        <w:t>Patients: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57611A" w:rsidRPr="000D2C89">
        <w:rPr>
          <w:rStyle w:val="Heading1Char"/>
          <w:rFonts w:asciiTheme="minorHAnsi" w:hAnsiTheme="minorHAnsi"/>
          <w:color w:val="0070C0"/>
          <w:sz w:val="24"/>
          <w:szCs w:val="24"/>
        </w:rPr>
        <w:t xml:space="preserve"> NZSG’s interpretation of this guideline is that all patients who have had a solid organ transplant at any time over the age of 12 years meet criteria. All such patients would be on lifelong immunosuppressive medications, and wo</w:t>
      </w:r>
      <w:r w:rsidR="00BE05A5">
        <w:rPr>
          <w:rStyle w:val="Heading1Char"/>
          <w:rFonts w:asciiTheme="minorHAnsi" w:hAnsiTheme="minorHAnsi"/>
          <w:color w:val="0070C0"/>
          <w:sz w:val="24"/>
          <w:szCs w:val="24"/>
        </w:rPr>
        <w:t>uld therefore meet this criterion</w:t>
      </w:r>
      <w:r w:rsidR="0057611A" w:rsidRPr="000D2C89">
        <w:rPr>
          <w:rStyle w:val="Heading1Char"/>
          <w:rFonts w:asciiTheme="minorHAnsi" w:hAnsiTheme="minorHAnsi"/>
          <w:color w:val="0070C0"/>
          <w:sz w:val="24"/>
          <w:szCs w:val="24"/>
        </w:rPr>
        <w:t xml:space="preserve">. </w:t>
      </w:r>
      <w:r w:rsidR="0057611A" w:rsidRPr="000D2C89">
        <w:rPr>
          <w:rStyle w:val="markedcontent"/>
          <w:rFonts w:cs="Arial"/>
          <w:color w:val="0070C0"/>
          <w:sz w:val="24"/>
          <w:szCs w:val="24"/>
        </w:rPr>
        <w:t>These patients are often on multiple medications, such as tacrolimus, mycophenolate mofetil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>, ciclosporin</w:t>
      </w:r>
      <w:r w:rsidR="0057611A" w:rsidRPr="000D2C89">
        <w:rPr>
          <w:rStyle w:val="markedcontent"/>
          <w:rFonts w:cs="Arial"/>
          <w:color w:val="0070C0"/>
          <w:sz w:val="24"/>
          <w:szCs w:val="24"/>
        </w:rPr>
        <w:t xml:space="preserve"> and/or prednisone</w:t>
      </w:r>
    </w:p>
    <w:p w14:paraId="42C81197" w14:textId="7F9626BC" w:rsidR="00341168" w:rsidRPr="000D2C89" w:rsidRDefault="00341168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AE4320">
        <w:rPr>
          <w:rStyle w:val="Heading1Char"/>
          <w:rFonts w:asciiTheme="minorHAnsi" w:hAnsiTheme="minorHAnsi"/>
          <w:b/>
          <w:color w:val="0070C0"/>
          <w:sz w:val="24"/>
          <w:szCs w:val="24"/>
        </w:rPr>
        <w:t>Timing</w:t>
      </w:r>
      <w:r w:rsidRPr="000D2C89">
        <w:rPr>
          <w:rStyle w:val="Heading1Char"/>
          <w:rFonts w:asciiTheme="minorHAnsi" w:hAnsiTheme="minorHAnsi"/>
          <w:color w:val="0070C0"/>
          <w:sz w:val="24"/>
          <w:szCs w:val="24"/>
        </w:rPr>
        <w:t>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If treatment for rejection with higher dose immune suppression is needed, then the timing of the third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primary </w:t>
      </w:r>
      <w:r w:rsidRPr="000D2C89">
        <w:rPr>
          <w:rStyle w:val="markedcontent"/>
          <w:rFonts w:cs="Arial"/>
          <w:color w:val="0070C0"/>
          <w:sz w:val="24"/>
          <w:szCs w:val="24"/>
        </w:rPr>
        <w:t>dose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 of COVID-19 vaccine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5A6727" w:rsidRPr="000D2C89">
        <w:rPr>
          <w:rStyle w:val="markedcontent"/>
          <w:rFonts w:cs="Arial"/>
          <w:color w:val="0070C0"/>
          <w:sz w:val="24"/>
          <w:szCs w:val="24"/>
        </w:rPr>
        <w:t>could be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2 weeks after cessation of this treatment as per guidelines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, at least 8 weeks after the second vaccine dose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. It is not possible to stop routine immune suppression because of the risk of rejection, therefore timing of the 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third primary </w:t>
      </w:r>
      <w:r w:rsidRPr="000D2C89">
        <w:rPr>
          <w:rStyle w:val="markedcontent"/>
          <w:rFonts w:cs="Arial"/>
          <w:color w:val="0070C0"/>
          <w:sz w:val="24"/>
          <w:szCs w:val="24"/>
        </w:rPr>
        <w:t>dose for people who are stable on treatment can be any time from 8 weeks after the second dose.</w:t>
      </w:r>
    </w:p>
    <w:p w14:paraId="1BC9F921" w14:textId="63239A99" w:rsidR="004C132C" w:rsidRPr="000D2C89" w:rsidRDefault="004C132C" w:rsidP="004C132C">
      <w:pPr>
        <w:rPr>
          <w:rStyle w:val="markedcontent"/>
          <w:rFonts w:cs="Arial"/>
          <w:sz w:val="24"/>
          <w:szCs w:val="24"/>
        </w:rPr>
      </w:pPr>
      <w:r w:rsidRPr="000D2C89">
        <w:br/>
      </w:r>
      <w:r w:rsidRPr="000D2C89">
        <w:br/>
      </w:r>
      <w:r w:rsidRPr="000D2C89">
        <w:rPr>
          <w:rStyle w:val="markedcontent"/>
          <w:rFonts w:cs="Arial"/>
          <w:sz w:val="24"/>
          <w:szCs w:val="24"/>
        </w:rPr>
        <w:t xml:space="preserve">2.2 Those who were receiving or had received in the previous three months </w:t>
      </w:r>
      <w:r w:rsidRPr="000D2C89">
        <w:rPr>
          <w:rStyle w:val="markedcontent"/>
          <w:rFonts w:cs="Arial"/>
          <w:b/>
          <w:bCs/>
          <w:sz w:val="24"/>
          <w:szCs w:val="24"/>
        </w:rPr>
        <w:t>targeted therapy for autoimmune disease</w:t>
      </w:r>
      <w:r w:rsidRPr="000D2C89">
        <w:rPr>
          <w:rStyle w:val="markedcontent"/>
          <w:rFonts w:cs="Arial"/>
          <w:sz w:val="24"/>
          <w:szCs w:val="24"/>
        </w:rPr>
        <w:t xml:space="preserve">, such as JAK inhibitors or biologic </w:t>
      </w:r>
      <w:r w:rsidR="000D2C89">
        <w:rPr>
          <w:rStyle w:val="markedcontent"/>
          <w:rFonts w:cs="Arial"/>
          <w:sz w:val="24"/>
          <w:szCs w:val="24"/>
        </w:rPr>
        <w:t xml:space="preserve">immune modulators </w:t>
      </w:r>
      <w:r w:rsidRPr="000D2C89">
        <w:rPr>
          <w:rStyle w:val="markedcontent"/>
          <w:rFonts w:cs="Arial"/>
          <w:sz w:val="24"/>
          <w:szCs w:val="24"/>
        </w:rPr>
        <w:t xml:space="preserve">including B-cell targeted therapies (including rituximab but in this case the recipient would be considered immunosuppressed for a six month period), T-cell co-stimulation modulators, monoclonal </w:t>
      </w:r>
      <w:proofErr w:type="spellStart"/>
      <w:r w:rsidRPr="000D2C89">
        <w:rPr>
          <w:rStyle w:val="markedcontent"/>
          <w:rFonts w:cs="Arial"/>
          <w:sz w:val="24"/>
          <w:szCs w:val="24"/>
        </w:rPr>
        <w:t>tumor</w:t>
      </w:r>
      <w:proofErr w:type="spellEnd"/>
      <w:r w:rsidRPr="000D2C89">
        <w:rPr>
          <w:rStyle w:val="markedcontent"/>
          <w:rFonts w:cs="Arial"/>
          <w:sz w:val="24"/>
          <w:szCs w:val="24"/>
        </w:rPr>
        <w:t xml:space="preserve"> necrosis factor inhibitors (</w:t>
      </w:r>
      <w:proofErr w:type="spellStart"/>
      <w:r w:rsidRPr="000D2C89">
        <w:rPr>
          <w:rStyle w:val="markedcontent"/>
          <w:rFonts w:cs="Arial"/>
          <w:sz w:val="24"/>
          <w:szCs w:val="24"/>
        </w:rPr>
        <w:t>TNFi</w:t>
      </w:r>
      <w:proofErr w:type="spellEnd"/>
      <w:r w:rsidRPr="000D2C89">
        <w:rPr>
          <w:rStyle w:val="markedcontent"/>
          <w:rFonts w:cs="Arial"/>
          <w:sz w:val="24"/>
          <w:szCs w:val="24"/>
        </w:rPr>
        <w:t xml:space="preserve">), soluble TNF receptors, interleukin (IL)-6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>receptor inhibitors, IL-17 inhibitors, IL 12/</w:t>
      </w:r>
      <w:r w:rsidR="000D2C89">
        <w:rPr>
          <w:rStyle w:val="markedcontent"/>
          <w:rFonts w:cs="Arial"/>
          <w:sz w:val="24"/>
          <w:szCs w:val="24"/>
        </w:rPr>
        <w:t xml:space="preserve">23 inhibitors, IL 23 inhibitors. </w:t>
      </w:r>
      <w:r w:rsidRPr="000D2C89">
        <w:rPr>
          <w:rStyle w:val="markedcontent"/>
          <w:rFonts w:cs="Arial"/>
          <w:sz w:val="24"/>
          <w:szCs w:val="24"/>
        </w:rPr>
        <w:t>Note</w:t>
      </w:r>
      <w:r w:rsidR="000D2C89">
        <w:rPr>
          <w:rStyle w:val="markedcontent"/>
          <w:rFonts w:cs="Arial"/>
          <w:sz w:val="24"/>
          <w:szCs w:val="24"/>
        </w:rPr>
        <w:t>: T</w:t>
      </w:r>
      <w:r w:rsidRPr="000D2C89">
        <w:rPr>
          <w:rStyle w:val="markedcontent"/>
          <w:rFonts w:cs="Arial"/>
          <w:sz w:val="24"/>
          <w:szCs w:val="24"/>
        </w:rPr>
        <w:t xml:space="preserve">his list is not exhaustive but provides a guide on the types of scenarios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 xml:space="preserve">where a consumer should receive a third primary dose. </w:t>
      </w:r>
    </w:p>
    <w:p w14:paraId="47A20802" w14:textId="5CC62BAD" w:rsidR="004C132C" w:rsidRPr="000D2C89" w:rsidRDefault="00341168" w:rsidP="005A6727">
      <w:pPr>
        <w:pStyle w:val="Heading1"/>
        <w:rPr>
          <w:rStyle w:val="markedcontent"/>
          <w:rFonts w:asciiTheme="minorHAnsi" w:hAnsiTheme="minorHAnsi"/>
          <w:color w:val="0070C0"/>
        </w:rPr>
      </w:pPr>
      <w:r w:rsidRPr="000D2C89">
        <w:rPr>
          <w:rStyle w:val="markedcontent"/>
          <w:rFonts w:asciiTheme="minorHAnsi" w:hAnsiTheme="minorHAnsi"/>
          <w:color w:val="0070C0"/>
        </w:rPr>
        <w:lastRenderedPageBreak/>
        <w:t>Adalimumab:</w:t>
      </w:r>
      <w:r w:rsidR="0031610F" w:rsidRPr="000D2C89">
        <w:rPr>
          <w:rStyle w:val="markedcontent"/>
          <w:rFonts w:asciiTheme="minorHAnsi" w:hAnsiTheme="minorHAnsi"/>
          <w:color w:val="0070C0"/>
        </w:rPr>
        <w:t xml:space="preserve"> Anti-TNF</w:t>
      </w:r>
    </w:p>
    <w:p w14:paraId="34D3AACD" w14:textId="4A7AC249" w:rsidR="004A24E5" w:rsidRPr="000D2C89" w:rsidRDefault="004A24E5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Many people living with IBD receive Adalimu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>m</w:t>
      </w:r>
      <w:r w:rsidRPr="000D2C89">
        <w:rPr>
          <w:rStyle w:val="markedcontent"/>
          <w:rFonts w:cs="Arial"/>
          <w:color w:val="0070C0"/>
          <w:sz w:val="24"/>
          <w:szCs w:val="24"/>
        </w:rPr>
        <w:t>ab</w:t>
      </w:r>
      <w:r w:rsidR="00BE05A5">
        <w:rPr>
          <w:rStyle w:val="markedcontent"/>
          <w:rFonts w:cs="Arial"/>
          <w:color w:val="0070C0"/>
          <w:sz w:val="24"/>
          <w:szCs w:val="24"/>
        </w:rPr>
        <w:t>, a subcutaneous medication</w:t>
      </w:r>
      <w:r w:rsidRPr="000D2C89">
        <w:rPr>
          <w:rStyle w:val="markedcontent"/>
          <w:rFonts w:cs="Arial"/>
          <w:color w:val="0070C0"/>
          <w:sz w:val="24"/>
          <w:szCs w:val="24"/>
        </w:rPr>
        <w:t>. They often receive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 xml:space="preserve"> induction with 160mg at week 0, 80mg week </w:t>
      </w:r>
      <w:r w:rsidR="00640084">
        <w:rPr>
          <w:rStyle w:val="markedcontent"/>
          <w:rFonts w:cs="Arial"/>
          <w:color w:val="0070C0"/>
          <w:sz w:val="24"/>
          <w:szCs w:val="24"/>
        </w:rPr>
        <w:t>2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 xml:space="preserve">, 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and 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 xml:space="preserve">then 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continue with 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>40mg fortnightly. Some people require weekly Adalimumab.</w:t>
      </w:r>
    </w:p>
    <w:p w14:paraId="4F913EE7" w14:textId="0FC60043" w:rsidR="00341168" w:rsidRPr="00AE4320" w:rsidRDefault="00341168" w:rsidP="00AE4320">
      <w:pPr>
        <w:pStyle w:val="Heading2"/>
        <w:rPr>
          <w:rStyle w:val="markedcontent"/>
          <w:rFonts w:asciiTheme="minorHAnsi" w:hAnsiTheme="minorHAnsi" w:cs="Arial"/>
          <w:b/>
          <w:color w:val="0070C0"/>
          <w:sz w:val="24"/>
          <w:szCs w:val="24"/>
        </w:rPr>
      </w:pPr>
      <w:r w:rsidRPr="000D2C89">
        <w:rPr>
          <w:rStyle w:val="markedcontent"/>
          <w:rFonts w:asciiTheme="minorHAnsi" w:hAnsiTheme="minorHAnsi" w:cs="Arial"/>
          <w:b/>
          <w:color w:val="0070C0"/>
          <w:sz w:val="24"/>
          <w:szCs w:val="24"/>
        </w:rPr>
        <w:t>T</w:t>
      </w:r>
      <w:r w:rsidR="007C7643" w:rsidRPr="000D2C89">
        <w:rPr>
          <w:rStyle w:val="markedcontent"/>
          <w:rFonts w:asciiTheme="minorHAnsi" w:hAnsiTheme="minorHAnsi" w:cs="Arial"/>
          <w:b/>
          <w:color w:val="0070C0"/>
          <w:sz w:val="24"/>
          <w:szCs w:val="24"/>
        </w:rPr>
        <w:t>i</w:t>
      </w:r>
      <w:r w:rsidRPr="000D2C89">
        <w:rPr>
          <w:rStyle w:val="markedcontent"/>
          <w:rFonts w:asciiTheme="minorHAnsi" w:hAnsiTheme="minorHAnsi" w:cs="Arial"/>
          <w:b/>
          <w:color w:val="0070C0"/>
          <w:sz w:val="24"/>
          <w:szCs w:val="24"/>
        </w:rPr>
        <w:t>ming</w:t>
      </w:r>
      <w:r w:rsidR="004C132C" w:rsidRPr="000D2C89">
        <w:rPr>
          <w:rStyle w:val="markedcontent"/>
          <w:rFonts w:asciiTheme="minorHAnsi" w:hAnsiTheme="minorHAnsi" w:cs="Arial"/>
          <w:b/>
          <w:color w:val="0070C0"/>
          <w:sz w:val="24"/>
          <w:szCs w:val="24"/>
        </w:rPr>
        <w:t>:</w:t>
      </w:r>
      <w:r w:rsidR="00AE4320">
        <w:rPr>
          <w:rStyle w:val="markedcontent"/>
          <w:rFonts w:asciiTheme="minorHAnsi" w:hAnsiTheme="minorHAnsi" w:cs="Arial"/>
          <w:b/>
          <w:color w:val="0070C0"/>
          <w:sz w:val="24"/>
          <w:szCs w:val="24"/>
        </w:rPr>
        <w:t xml:space="preserve"> </w:t>
      </w:r>
      <w:r w:rsidR="004C132C" w:rsidRPr="00BE05A5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Patients on Adalimumab should receive their </w:t>
      </w:r>
      <w:r w:rsidR="003C0853" w:rsidRPr="00BE05A5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third primary dose of COVID-19 vaccine </w:t>
      </w:r>
      <w:r w:rsidR="004C132C" w:rsidRPr="00BE05A5">
        <w:rPr>
          <w:rStyle w:val="markedcontent"/>
          <w:rFonts w:asciiTheme="minorHAnsi" w:hAnsiTheme="minorHAnsi" w:cs="Arial"/>
          <w:color w:val="0070C0"/>
          <w:sz w:val="24"/>
          <w:szCs w:val="24"/>
        </w:rPr>
        <w:t>at least 8 weeks after their second</w:t>
      </w:r>
      <w:r w:rsidRPr="00BE05A5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vaccine, and ideally the day before the</w:t>
      </w:r>
      <w:r w:rsidR="007C7643" w:rsidRPr="00BE05A5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maintenance</w:t>
      </w:r>
      <w:r w:rsidRPr="00BE05A5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Adalimumab is normally given</w:t>
      </w:r>
    </w:p>
    <w:p w14:paraId="5D474A51" w14:textId="3E9A0679" w:rsidR="00341168" w:rsidRPr="000D2C89" w:rsidRDefault="00341168" w:rsidP="005A6727">
      <w:pPr>
        <w:pStyle w:val="Heading1"/>
        <w:rPr>
          <w:rStyle w:val="markedcontent"/>
          <w:rFonts w:asciiTheme="minorHAnsi" w:hAnsiTheme="minorHAnsi"/>
          <w:color w:val="0070C0"/>
        </w:rPr>
      </w:pPr>
      <w:r w:rsidRPr="000D2C89">
        <w:rPr>
          <w:rStyle w:val="markedcontent"/>
          <w:rFonts w:asciiTheme="minorHAnsi" w:hAnsiTheme="minorHAnsi"/>
          <w:color w:val="0070C0"/>
        </w:rPr>
        <w:t>Infliximab:</w:t>
      </w:r>
      <w:r w:rsidR="0031610F" w:rsidRPr="000D2C89">
        <w:rPr>
          <w:rStyle w:val="markedcontent"/>
          <w:rFonts w:asciiTheme="minorHAnsi" w:hAnsiTheme="minorHAnsi"/>
          <w:color w:val="0070C0"/>
        </w:rPr>
        <w:t xml:space="preserve"> Anti-TNF</w:t>
      </w:r>
    </w:p>
    <w:p w14:paraId="291DC6E5" w14:textId="26FC954F" w:rsidR="007C7643" w:rsidRPr="000D2C89" w:rsidRDefault="007C7643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 xml:space="preserve">This medication is 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typically </w:t>
      </w:r>
      <w:r w:rsidRPr="000D2C89">
        <w:rPr>
          <w:rStyle w:val="markedcontent"/>
          <w:rFonts w:cs="Arial"/>
          <w:color w:val="0070C0"/>
          <w:sz w:val="24"/>
          <w:szCs w:val="24"/>
        </w:rPr>
        <w:t>given at a dose of 5mg/kg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 intravenously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to treat IBD. Induction is often prescribed at weeks 0,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2 and 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>6</w:t>
      </w:r>
      <w:r w:rsidRPr="000D2C89">
        <w:rPr>
          <w:rStyle w:val="markedcontent"/>
          <w:rFonts w:cs="Arial"/>
          <w:color w:val="0070C0"/>
          <w:sz w:val="24"/>
          <w:szCs w:val="24"/>
        </w:rPr>
        <w:t>. Most patients receive an infusion of 5mg/kg every 8 weeks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 for maintenance therapy: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some get a higher dose, or receive infusions closer together.</w:t>
      </w:r>
    </w:p>
    <w:p w14:paraId="6F7C0134" w14:textId="6D5DDE37" w:rsidR="0031610F" w:rsidRPr="000D2C89" w:rsidRDefault="007C7643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Heading2Char"/>
          <w:rFonts w:asciiTheme="minorHAnsi" w:hAnsiTheme="minorHAnsi"/>
          <w:b/>
          <w:color w:val="0070C0"/>
          <w:sz w:val="24"/>
          <w:szCs w:val="24"/>
        </w:rPr>
        <w:t>Timing</w:t>
      </w:r>
      <w:r w:rsidRPr="000D2C89">
        <w:rPr>
          <w:rStyle w:val="markedcontent"/>
          <w:rFonts w:cs="Arial"/>
          <w:b/>
          <w:color w:val="0070C0"/>
          <w:sz w:val="24"/>
          <w:szCs w:val="24"/>
        </w:rPr>
        <w:t>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341168" w:rsidRPr="000D2C89">
        <w:rPr>
          <w:rStyle w:val="markedcontent"/>
          <w:rFonts w:cs="Arial"/>
          <w:color w:val="0070C0"/>
          <w:sz w:val="24"/>
          <w:szCs w:val="24"/>
        </w:rPr>
        <w:t xml:space="preserve">Patients 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>receiving</w:t>
      </w:r>
      <w:r w:rsidR="00341168" w:rsidRPr="000D2C89">
        <w:rPr>
          <w:rStyle w:val="markedcontent"/>
          <w:rFonts w:cs="Arial"/>
          <w:color w:val="0070C0"/>
          <w:sz w:val="24"/>
          <w:szCs w:val="24"/>
        </w:rPr>
        <w:t xml:space="preserve"> Infliximab should receive their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 </w:t>
      </w:r>
      <w:r w:rsidR="00341168" w:rsidRPr="000D2C89">
        <w:rPr>
          <w:rStyle w:val="markedcontent"/>
          <w:rFonts w:cs="Arial"/>
          <w:color w:val="0070C0"/>
          <w:sz w:val="24"/>
          <w:szCs w:val="24"/>
        </w:rPr>
        <w:t>at least 8 weeks after their second vaccine, and ideally 2 – 3 days prior to their next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maintenance</w:t>
      </w:r>
      <w:r w:rsidR="00341168" w:rsidRPr="000D2C89">
        <w:rPr>
          <w:rStyle w:val="markedcontent"/>
          <w:rFonts w:cs="Arial"/>
          <w:color w:val="0070C0"/>
          <w:sz w:val="24"/>
          <w:szCs w:val="24"/>
        </w:rPr>
        <w:t xml:space="preserve"> Infliximab infusion so that the amount of drug is at its lowest</w:t>
      </w:r>
    </w:p>
    <w:p w14:paraId="58E5F467" w14:textId="703ADA43" w:rsidR="0031610F" w:rsidRPr="000D2C89" w:rsidRDefault="0031610F" w:rsidP="005A6727">
      <w:pPr>
        <w:pStyle w:val="Heading1"/>
        <w:rPr>
          <w:rStyle w:val="markedcontent"/>
          <w:rFonts w:asciiTheme="minorHAnsi" w:hAnsiTheme="minorHAnsi"/>
          <w:color w:val="0070C0"/>
        </w:rPr>
      </w:pPr>
      <w:r w:rsidRPr="000D2C89">
        <w:rPr>
          <w:rStyle w:val="markedcontent"/>
          <w:rFonts w:asciiTheme="minorHAnsi" w:hAnsiTheme="minorHAnsi"/>
          <w:color w:val="0070C0"/>
        </w:rPr>
        <w:t>Tofacitinib: JAK3</w:t>
      </w:r>
    </w:p>
    <w:p w14:paraId="16EAC845" w14:textId="37D5E827" w:rsidR="0031610F" w:rsidRPr="000D2C89" w:rsidRDefault="0031610F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Some patients may be receiving Tofa</w:t>
      </w:r>
      <w:r w:rsidR="004A24E5" w:rsidRPr="000D2C89">
        <w:rPr>
          <w:rStyle w:val="markedcontent"/>
          <w:rFonts w:cs="Arial"/>
          <w:color w:val="0070C0"/>
          <w:sz w:val="24"/>
          <w:szCs w:val="24"/>
        </w:rPr>
        <w:t>c</w:t>
      </w:r>
      <w:r w:rsidRPr="000D2C89">
        <w:rPr>
          <w:rStyle w:val="markedcontent"/>
          <w:rFonts w:cs="Arial"/>
          <w:color w:val="0070C0"/>
          <w:sz w:val="24"/>
          <w:szCs w:val="24"/>
        </w:rPr>
        <w:t>itinib as part of a trial, or are self</w:t>
      </w:r>
      <w:r w:rsidR="005C5E04" w:rsidRPr="000D2C89">
        <w:rPr>
          <w:rStyle w:val="markedcontent"/>
          <w:rFonts w:cs="Arial"/>
          <w:color w:val="0070C0"/>
          <w:sz w:val="24"/>
          <w:szCs w:val="24"/>
        </w:rPr>
        <w:t>-</w:t>
      </w:r>
      <w:r w:rsidRPr="000D2C89">
        <w:rPr>
          <w:rStyle w:val="markedcontent"/>
          <w:rFonts w:cs="Arial"/>
          <w:color w:val="0070C0"/>
          <w:sz w:val="24"/>
          <w:szCs w:val="24"/>
        </w:rPr>
        <w:t>funding</w:t>
      </w:r>
      <w:r w:rsidR="00014FE3" w:rsidRPr="000D2C89">
        <w:rPr>
          <w:rStyle w:val="markedcontent"/>
          <w:rFonts w:cs="Arial"/>
          <w:color w:val="0070C0"/>
          <w:sz w:val="24"/>
          <w:szCs w:val="24"/>
        </w:rPr>
        <w:t xml:space="preserve"> to treat severe ulcerative colitis</w:t>
      </w:r>
      <w:r w:rsidRPr="000D2C89">
        <w:rPr>
          <w:rStyle w:val="markedcontent"/>
          <w:rFonts w:cs="Arial"/>
          <w:color w:val="0070C0"/>
          <w:sz w:val="24"/>
          <w:szCs w:val="24"/>
        </w:rPr>
        <w:t>.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Pr="000D2C89">
        <w:rPr>
          <w:rStyle w:val="markedcontent"/>
          <w:rFonts w:cs="Arial"/>
          <w:color w:val="0070C0"/>
          <w:sz w:val="24"/>
          <w:szCs w:val="24"/>
        </w:rPr>
        <w:t>This is an oral drug,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 given at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10mg BD for 8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-</w:t>
      </w:r>
      <w:r w:rsidRPr="000D2C89">
        <w:rPr>
          <w:rStyle w:val="markedcontent"/>
          <w:rFonts w:cs="Arial"/>
          <w:color w:val="0070C0"/>
          <w:sz w:val="24"/>
          <w:szCs w:val="24"/>
        </w:rPr>
        <w:t>week induction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>,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then 5mg BD for maintenance.</w:t>
      </w:r>
    </w:p>
    <w:p w14:paraId="1BFE72B0" w14:textId="105F3132" w:rsidR="0031610F" w:rsidRPr="000D2C89" w:rsidRDefault="0031610F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Heading2Char"/>
          <w:rFonts w:asciiTheme="minorHAnsi" w:hAnsiTheme="minorHAnsi"/>
          <w:b/>
          <w:color w:val="0070C0"/>
          <w:sz w:val="24"/>
          <w:szCs w:val="24"/>
        </w:rPr>
        <w:t>Timing:</w:t>
      </w:r>
      <w:r w:rsidRPr="000D2C89">
        <w:rPr>
          <w:rStyle w:val="Heading2Char"/>
          <w:rFonts w:asciiTheme="minorHAnsi" w:hAnsiTheme="minorHAnsi"/>
          <w:color w:val="0070C0"/>
          <w:sz w:val="24"/>
          <w:szCs w:val="24"/>
        </w:rPr>
        <w:t xml:space="preserve"> </w:t>
      </w:r>
      <w:r w:rsidRPr="000D2C89">
        <w:rPr>
          <w:rStyle w:val="markedcontent"/>
          <w:rFonts w:cs="Arial"/>
          <w:color w:val="0070C0"/>
          <w:sz w:val="24"/>
          <w:szCs w:val="24"/>
        </w:rPr>
        <w:t>Patients on Tofacitinib</w:t>
      </w:r>
      <w:r w:rsidR="005C5E04" w:rsidRPr="000D2C89">
        <w:rPr>
          <w:rStyle w:val="markedcontent"/>
          <w:rFonts w:cs="Arial"/>
          <w:color w:val="0070C0"/>
          <w:sz w:val="24"/>
          <w:szCs w:val="24"/>
        </w:rPr>
        <w:t xml:space="preserve"> should be offered a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 </w:t>
      </w:r>
      <w:r w:rsidR="005C5E04" w:rsidRPr="000D2C89">
        <w:rPr>
          <w:rStyle w:val="markedcontent"/>
          <w:rFonts w:cs="Arial"/>
          <w:color w:val="0070C0"/>
          <w:sz w:val="24"/>
          <w:szCs w:val="24"/>
        </w:rPr>
        <w:t>at least 8 weeks after their second vaccine, and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ideally would wait until the maintenance dose</w:t>
      </w:r>
      <w:r w:rsidR="005C5E04" w:rsidRPr="000D2C89">
        <w:rPr>
          <w:rStyle w:val="markedcontent"/>
          <w:rFonts w:cs="Arial"/>
          <w:color w:val="0070C0"/>
          <w:sz w:val="24"/>
          <w:szCs w:val="24"/>
        </w:rPr>
        <w:t xml:space="preserve"> has started</w:t>
      </w:r>
      <w:r w:rsidR="00014FE3" w:rsidRPr="000D2C89">
        <w:rPr>
          <w:rStyle w:val="markedcontent"/>
          <w:rFonts w:cs="Arial"/>
          <w:color w:val="0070C0"/>
          <w:sz w:val="24"/>
          <w:szCs w:val="24"/>
        </w:rPr>
        <w:t>. A treatment holiday is unlikely, as this treatment in NZ is third line or as part of a trial</w:t>
      </w:r>
    </w:p>
    <w:p w14:paraId="69342444" w14:textId="23414AFE" w:rsidR="00014FE3" w:rsidRPr="000D2C89" w:rsidRDefault="00014FE3" w:rsidP="005A6727">
      <w:pPr>
        <w:pStyle w:val="Heading1"/>
        <w:rPr>
          <w:rStyle w:val="markedcontent"/>
          <w:rFonts w:asciiTheme="minorHAnsi" w:hAnsiTheme="minorHAnsi"/>
          <w:color w:val="0070C0"/>
        </w:rPr>
      </w:pPr>
      <w:r w:rsidRPr="000D2C89">
        <w:rPr>
          <w:rStyle w:val="markedcontent"/>
          <w:rFonts w:asciiTheme="minorHAnsi" w:hAnsiTheme="minorHAnsi"/>
          <w:color w:val="0070C0"/>
        </w:rPr>
        <w:t>Ustekinumab: IL 12/23 inhibitors</w:t>
      </w:r>
      <w:r w:rsidR="00B369DE" w:rsidRPr="000D2C89">
        <w:rPr>
          <w:rStyle w:val="markedcontent"/>
          <w:rFonts w:asciiTheme="minorHAnsi" w:hAnsiTheme="minorHAnsi"/>
          <w:color w:val="0070C0"/>
        </w:rPr>
        <w:t xml:space="preserve"> (</w:t>
      </w:r>
      <w:proofErr w:type="spellStart"/>
      <w:r w:rsidR="00B369DE" w:rsidRPr="000D2C89">
        <w:rPr>
          <w:rStyle w:val="markedcontent"/>
          <w:rFonts w:asciiTheme="minorHAnsi" w:hAnsiTheme="minorHAnsi"/>
          <w:color w:val="0070C0"/>
        </w:rPr>
        <w:t>Stellara</w:t>
      </w:r>
      <w:proofErr w:type="spellEnd"/>
      <w:r w:rsidR="00B369DE" w:rsidRPr="000D2C89">
        <w:rPr>
          <w:rStyle w:val="markedcontent"/>
          <w:rFonts w:asciiTheme="minorHAnsi" w:hAnsiTheme="minorHAnsi"/>
          <w:color w:val="0070C0"/>
        </w:rPr>
        <w:t>)</w:t>
      </w:r>
    </w:p>
    <w:p w14:paraId="7528A829" w14:textId="42AC641B" w:rsidR="007C7643" w:rsidRPr="000D2C89" w:rsidRDefault="00FF3A24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This medication</w:t>
      </w:r>
      <w:r w:rsidR="00B369DE" w:rsidRPr="000D2C89">
        <w:rPr>
          <w:rStyle w:val="markedcontent"/>
          <w:rFonts w:cs="Arial"/>
          <w:color w:val="0070C0"/>
          <w:sz w:val="24"/>
          <w:szCs w:val="24"/>
        </w:rPr>
        <w:t xml:space="preserve"> for IBD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is given as an infusion for the first dose, </w:t>
      </w:r>
      <w:r w:rsidR="00BE05A5">
        <w:rPr>
          <w:rStyle w:val="markedcontent"/>
          <w:rFonts w:cs="Arial"/>
          <w:color w:val="0070C0"/>
          <w:sz w:val="24"/>
          <w:szCs w:val="24"/>
        </w:rPr>
        <w:t>subcutaneously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for the second dose 4 weeks later, 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and </w:t>
      </w:r>
      <w:r w:rsidRPr="000D2C89">
        <w:rPr>
          <w:rStyle w:val="markedcontent"/>
          <w:rFonts w:cs="Arial"/>
          <w:color w:val="0070C0"/>
          <w:sz w:val="24"/>
          <w:szCs w:val="24"/>
        </w:rPr>
        <w:t>then maintenance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 subcutaneous doses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12 weekly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 xml:space="preserve">. </w:t>
      </w:r>
      <w:r w:rsidRPr="000D2C89">
        <w:rPr>
          <w:rStyle w:val="markedcontent"/>
          <w:rFonts w:cs="Arial"/>
          <w:color w:val="0070C0"/>
          <w:sz w:val="24"/>
          <w:szCs w:val="24"/>
        </w:rPr>
        <w:t>Most patients on Ustekinumab will be in a trial or self</w:t>
      </w:r>
      <w:r w:rsidR="007C7643" w:rsidRPr="000D2C89">
        <w:rPr>
          <w:rStyle w:val="markedcontent"/>
          <w:rFonts w:cs="Arial"/>
          <w:color w:val="0070C0"/>
          <w:sz w:val="24"/>
          <w:szCs w:val="24"/>
        </w:rPr>
        <w:t>-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funding because of severe disease. </w:t>
      </w:r>
    </w:p>
    <w:p w14:paraId="1C6BFFE3" w14:textId="3955BF4F" w:rsidR="00FF3A24" w:rsidRPr="000D2C89" w:rsidRDefault="007C7643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Heading2Char"/>
          <w:rFonts w:asciiTheme="minorHAnsi" w:hAnsiTheme="minorHAnsi"/>
          <w:b/>
          <w:color w:val="0070C0"/>
          <w:sz w:val="24"/>
          <w:szCs w:val="24"/>
        </w:rPr>
        <w:t>Timing: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>Ideally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>,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BE05A5">
        <w:rPr>
          <w:rStyle w:val="markedcontent"/>
          <w:rFonts w:cs="Arial"/>
          <w:color w:val="0070C0"/>
          <w:sz w:val="24"/>
          <w:szCs w:val="24"/>
        </w:rPr>
        <w:t>people on Ustekinumab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 xml:space="preserve"> would receive their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>third primary dose of COVID-19 vaccine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 xml:space="preserve"> 8 weeks after their second dose, before starting Ustekinumab (as would have recently received anti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>-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 xml:space="preserve">TNF 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treatment 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 xml:space="preserve">or similar). Otherwise, the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 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>can be at least 8 weeks after the last one, and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 ideally 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 xml:space="preserve">given 2-3 days before receiving a maintenance </w:t>
      </w:r>
      <w:r w:rsidR="00BE05A5">
        <w:rPr>
          <w:rStyle w:val="markedcontent"/>
          <w:rFonts w:cs="Arial"/>
          <w:color w:val="0070C0"/>
          <w:sz w:val="24"/>
          <w:szCs w:val="24"/>
        </w:rPr>
        <w:t>dose</w:t>
      </w:r>
      <w:r w:rsidR="00FF3A24" w:rsidRPr="000D2C89">
        <w:rPr>
          <w:rStyle w:val="markedcontent"/>
          <w:rFonts w:cs="Arial"/>
          <w:color w:val="0070C0"/>
          <w:sz w:val="24"/>
          <w:szCs w:val="24"/>
        </w:rPr>
        <w:t xml:space="preserve"> (when the amount of medication is at its lowest)</w:t>
      </w:r>
    </w:p>
    <w:p w14:paraId="50DA2293" w14:textId="77777777" w:rsidR="00C04670" w:rsidRPr="000D2C89" w:rsidRDefault="00B369DE" w:rsidP="004C132C">
      <w:pPr>
        <w:rPr>
          <w:rStyle w:val="markedcontent"/>
          <w:rFonts w:cs="Arial"/>
          <w:color w:val="0070C0"/>
          <w:sz w:val="21"/>
          <w:szCs w:val="21"/>
        </w:rPr>
      </w:pPr>
      <w:r w:rsidRPr="000D2C89">
        <w:rPr>
          <w:rStyle w:val="Heading1Char"/>
          <w:rFonts w:asciiTheme="minorHAnsi" w:hAnsiTheme="minorHAnsi"/>
          <w:color w:val="0070C0"/>
        </w:rPr>
        <w:t xml:space="preserve">Anti-Integrin: </w:t>
      </w:r>
      <w:r w:rsidR="0031610F" w:rsidRPr="000D2C89">
        <w:rPr>
          <w:rStyle w:val="Heading1Char"/>
          <w:rFonts w:asciiTheme="minorHAnsi" w:hAnsiTheme="minorHAnsi"/>
          <w:color w:val="0070C0"/>
        </w:rPr>
        <w:t>Vedolizumab</w:t>
      </w:r>
      <w:r w:rsidRPr="000D2C89">
        <w:rPr>
          <w:rStyle w:val="Heading1Char"/>
          <w:rFonts w:asciiTheme="minorHAnsi" w:hAnsiTheme="minorHAnsi"/>
          <w:color w:val="0070C0"/>
        </w:rPr>
        <w:t>.</w:t>
      </w:r>
      <w:r w:rsidRPr="000D2C89">
        <w:rPr>
          <w:rStyle w:val="markedcontent"/>
          <w:rFonts w:cs="Arial"/>
          <w:color w:val="0070C0"/>
          <w:sz w:val="21"/>
          <w:szCs w:val="21"/>
        </w:rPr>
        <w:t xml:space="preserve"> </w:t>
      </w:r>
    </w:p>
    <w:p w14:paraId="576DB259" w14:textId="20EAD362" w:rsidR="00B369DE" w:rsidRPr="000D2C89" w:rsidRDefault="00B369DE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 xml:space="preserve">NZSG acknowledges that the 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 xml:space="preserve">MOH </w:t>
      </w:r>
      <w:r w:rsidRPr="000D2C89">
        <w:rPr>
          <w:rStyle w:val="markedcontent"/>
          <w:rFonts w:cs="Arial"/>
          <w:color w:val="0070C0"/>
          <w:sz w:val="24"/>
          <w:szCs w:val="24"/>
        </w:rPr>
        <w:t>recommendation is not exhaustive and this drug should be handled in a similar way to other biological medications.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Pr="000D2C89">
        <w:rPr>
          <w:rStyle w:val="markedcontent"/>
          <w:rFonts w:cs="Arial"/>
          <w:color w:val="0070C0"/>
          <w:sz w:val="24"/>
          <w:szCs w:val="24"/>
        </w:rPr>
        <w:t>Most patients on Vedolizumab will be in a trial or self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>-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funding because of severe IBD. This medication is given as an </w:t>
      </w:r>
      <w:r w:rsidR="00BE05A5">
        <w:rPr>
          <w:rStyle w:val="markedcontent"/>
          <w:rFonts w:cs="Arial"/>
          <w:color w:val="0070C0"/>
          <w:sz w:val="24"/>
          <w:szCs w:val="24"/>
        </w:rPr>
        <w:lastRenderedPageBreak/>
        <w:t xml:space="preserve">intravenous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infusion, 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with typical doses of </w:t>
      </w:r>
      <w:r w:rsidRPr="000D2C89">
        <w:rPr>
          <w:rStyle w:val="markedcontent"/>
          <w:rFonts w:cs="Arial"/>
          <w:color w:val="0070C0"/>
          <w:sz w:val="24"/>
          <w:szCs w:val="24"/>
        </w:rPr>
        <w:t>300mg at weeks 0,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Pr="000D2C89">
        <w:rPr>
          <w:rStyle w:val="markedcontent"/>
          <w:rFonts w:cs="Arial"/>
          <w:color w:val="0070C0"/>
          <w:sz w:val="24"/>
          <w:szCs w:val="24"/>
        </w:rPr>
        <w:t>2 and 6</w:t>
      </w:r>
      <w:r w:rsidR="00BE05A5">
        <w:rPr>
          <w:rStyle w:val="markedcontent"/>
          <w:rFonts w:cs="Arial"/>
          <w:color w:val="0070C0"/>
          <w:sz w:val="24"/>
          <w:szCs w:val="24"/>
        </w:rPr>
        <w:t>,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then 8 week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ly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maintenance infusions </w:t>
      </w:r>
      <w:r w:rsidRPr="000D2C89">
        <w:rPr>
          <w:rStyle w:val="markedcontent"/>
          <w:rFonts w:cs="Arial"/>
          <w:color w:val="0070C0"/>
          <w:sz w:val="24"/>
          <w:szCs w:val="24"/>
        </w:rPr>
        <w:t>thereafter</w:t>
      </w:r>
      <w:r w:rsidRPr="000D2C89">
        <w:rPr>
          <w:rStyle w:val="markedcontent"/>
          <w:rFonts w:cs="Arial"/>
          <w:i/>
          <w:iCs/>
          <w:color w:val="0070C0"/>
          <w:sz w:val="24"/>
          <w:szCs w:val="24"/>
        </w:rPr>
        <w:t>.</w:t>
      </w:r>
    </w:p>
    <w:p w14:paraId="5B60E2AA" w14:textId="3C75B4D3" w:rsidR="00B369DE" w:rsidRPr="000D2C89" w:rsidRDefault="007C7643" w:rsidP="00B369DE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Heading2Char"/>
          <w:rFonts w:asciiTheme="minorHAnsi" w:hAnsiTheme="minorHAnsi"/>
          <w:b/>
          <w:color w:val="0070C0"/>
          <w:sz w:val="24"/>
          <w:szCs w:val="24"/>
        </w:rPr>
        <w:t>Timing</w:t>
      </w:r>
      <w:r w:rsidRPr="000D2C89">
        <w:rPr>
          <w:rStyle w:val="markedcontent"/>
          <w:rFonts w:cs="Arial"/>
          <w:b/>
          <w:color w:val="0070C0"/>
          <w:sz w:val="24"/>
          <w:szCs w:val="24"/>
        </w:rPr>
        <w:t>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B369DE" w:rsidRPr="000D2C89">
        <w:rPr>
          <w:rStyle w:val="markedcontent"/>
          <w:rFonts w:cs="Arial"/>
          <w:color w:val="0070C0"/>
          <w:sz w:val="24"/>
          <w:szCs w:val="24"/>
        </w:rPr>
        <w:t xml:space="preserve">Ideally patients on Vedolizumab would receive their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 </w:t>
      </w:r>
      <w:r w:rsidR="00B369DE" w:rsidRPr="000D2C89">
        <w:rPr>
          <w:rStyle w:val="markedcontent"/>
          <w:rFonts w:cs="Arial"/>
          <w:color w:val="0070C0"/>
          <w:sz w:val="24"/>
          <w:szCs w:val="24"/>
        </w:rPr>
        <w:t>8 weeks after their second vaccine, before starting Vedolizumab (as would have recently received anti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-</w:t>
      </w:r>
      <w:r w:rsidR="00B369DE" w:rsidRPr="000D2C89">
        <w:rPr>
          <w:rStyle w:val="markedcontent"/>
          <w:rFonts w:cs="Arial"/>
          <w:color w:val="0070C0"/>
          <w:sz w:val="24"/>
          <w:szCs w:val="24"/>
        </w:rPr>
        <w:t xml:space="preserve">TNF or similar). Otherwise, the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 </w:t>
      </w:r>
      <w:r w:rsidR="00B369DE" w:rsidRPr="000D2C89">
        <w:rPr>
          <w:rStyle w:val="markedcontent"/>
          <w:rFonts w:cs="Arial"/>
          <w:color w:val="0070C0"/>
          <w:sz w:val="24"/>
          <w:szCs w:val="24"/>
        </w:rPr>
        <w:t xml:space="preserve">can be at least 8 weeks after the </w:t>
      </w:r>
      <w:r w:rsidR="00BE05A5">
        <w:rPr>
          <w:rStyle w:val="markedcontent"/>
          <w:rFonts w:cs="Arial"/>
          <w:color w:val="0070C0"/>
          <w:sz w:val="24"/>
          <w:szCs w:val="24"/>
        </w:rPr>
        <w:t>second dose</w:t>
      </w:r>
      <w:r w:rsidR="00B369DE" w:rsidRPr="000D2C89">
        <w:rPr>
          <w:rStyle w:val="markedcontent"/>
          <w:rFonts w:cs="Arial"/>
          <w:color w:val="0070C0"/>
          <w:sz w:val="24"/>
          <w:szCs w:val="24"/>
        </w:rPr>
        <w:t>, and given 2-3 days before receiving a maintenance infusion of Vedolizumab (when the amount of medication is at its lowest)</w:t>
      </w:r>
      <w:r w:rsidR="00BE05A5">
        <w:rPr>
          <w:rStyle w:val="markedcontent"/>
          <w:rFonts w:cs="Arial"/>
          <w:color w:val="0070C0"/>
          <w:sz w:val="24"/>
          <w:szCs w:val="24"/>
        </w:rPr>
        <w:t>.</w:t>
      </w:r>
    </w:p>
    <w:p w14:paraId="330B47D1" w14:textId="7741A88D" w:rsidR="005A6727" w:rsidRPr="000D2C89" w:rsidRDefault="005A6727" w:rsidP="005A6727">
      <w:pPr>
        <w:pStyle w:val="Heading1"/>
        <w:rPr>
          <w:rStyle w:val="markedcontent"/>
          <w:rFonts w:asciiTheme="minorHAnsi" w:hAnsiTheme="minorHAnsi"/>
          <w:color w:val="0070C0"/>
        </w:rPr>
      </w:pPr>
      <w:r w:rsidRPr="000D2C89">
        <w:rPr>
          <w:rStyle w:val="markedcontent"/>
          <w:rFonts w:asciiTheme="minorHAnsi" w:hAnsiTheme="minorHAnsi"/>
          <w:color w:val="0070C0"/>
        </w:rPr>
        <w:t>Other Medications:</w:t>
      </w:r>
    </w:p>
    <w:p w14:paraId="4188AABF" w14:textId="3FAA70D5" w:rsidR="005A6727" w:rsidRPr="000D2C89" w:rsidRDefault="00C04670" w:rsidP="00B369DE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Some</w:t>
      </w:r>
      <w:r w:rsidR="005A6727" w:rsidRPr="000D2C89">
        <w:rPr>
          <w:rStyle w:val="markedcontent"/>
          <w:rFonts w:cs="Arial"/>
          <w:color w:val="0070C0"/>
          <w:sz w:val="24"/>
          <w:szCs w:val="24"/>
        </w:rPr>
        <w:t xml:space="preserve"> patients in gastroenterology receive </w:t>
      </w:r>
      <w:proofErr w:type="spellStart"/>
      <w:r w:rsidR="005A6727" w:rsidRPr="000D2C89">
        <w:rPr>
          <w:rStyle w:val="markedcontent"/>
          <w:rFonts w:cs="Arial"/>
          <w:color w:val="0070C0"/>
          <w:sz w:val="24"/>
          <w:szCs w:val="24"/>
        </w:rPr>
        <w:t>Rituxumab</w:t>
      </w:r>
      <w:proofErr w:type="spellEnd"/>
      <w:r w:rsidR="005A6727" w:rsidRPr="000D2C89">
        <w:rPr>
          <w:rStyle w:val="markedcontent"/>
          <w:rFonts w:cs="Arial"/>
          <w:color w:val="0070C0"/>
          <w:sz w:val="24"/>
          <w:szCs w:val="24"/>
        </w:rPr>
        <w:t xml:space="preserve"> (B cell targeted therapy). It is commonly prescribed as an 8 weekly infusion. Patients on </w:t>
      </w:r>
      <w:proofErr w:type="spellStart"/>
      <w:r w:rsidR="005A6727" w:rsidRPr="000D2C89">
        <w:rPr>
          <w:rStyle w:val="markedcontent"/>
          <w:rFonts w:cs="Arial"/>
          <w:color w:val="0070C0"/>
          <w:sz w:val="24"/>
          <w:szCs w:val="24"/>
        </w:rPr>
        <w:t>Rituxumab</w:t>
      </w:r>
      <w:proofErr w:type="spellEnd"/>
      <w:r w:rsidR="005A6727" w:rsidRPr="000D2C89">
        <w:rPr>
          <w:rStyle w:val="markedcontent"/>
          <w:rFonts w:cs="Arial"/>
          <w:color w:val="0070C0"/>
          <w:sz w:val="24"/>
          <w:szCs w:val="24"/>
        </w:rPr>
        <w:t xml:space="preserve"> should be offered </w:t>
      </w:r>
      <w:r w:rsidR="004A7B71" w:rsidRPr="000D2C89">
        <w:rPr>
          <w:rStyle w:val="markedcontent"/>
          <w:rFonts w:cs="Arial"/>
          <w:color w:val="0070C0"/>
          <w:sz w:val="24"/>
          <w:szCs w:val="24"/>
        </w:rPr>
        <w:t xml:space="preserve">a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>third primary dose of COVID-19 vaccine</w:t>
      </w:r>
      <w:r w:rsidR="005A6727" w:rsidRPr="000D2C89">
        <w:rPr>
          <w:rStyle w:val="markedcontent"/>
          <w:rFonts w:cs="Arial"/>
          <w:color w:val="0070C0"/>
          <w:sz w:val="24"/>
          <w:szCs w:val="24"/>
        </w:rPr>
        <w:t xml:space="preserve"> 2-3 days prior to their next </w:t>
      </w:r>
      <w:proofErr w:type="spellStart"/>
      <w:r w:rsidR="005A6727" w:rsidRPr="000D2C89">
        <w:rPr>
          <w:rStyle w:val="markedcontent"/>
          <w:rFonts w:cs="Arial"/>
          <w:color w:val="0070C0"/>
          <w:sz w:val="24"/>
          <w:szCs w:val="24"/>
        </w:rPr>
        <w:t>Rituxumab</w:t>
      </w:r>
      <w:proofErr w:type="spellEnd"/>
      <w:r w:rsidR="005A6727" w:rsidRPr="000D2C89">
        <w:rPr>
          <w:rStyle w:val="markedcontent"/>
          <w:rFonts w:cs="Arial"/>
          <w:color w:val="0070C0"/>
          <w:sz w:val="24"/>
          <w:szCs w:val="24"/>
        </w:rPr>
        <w:t xml:space="preserve"> dose</w:t>
      </w:r>
      <w:r w:rsidR="00BE05A5">
        <w:rPr>
          <w:rStyle w:val="markedcontent"/>
          <w:rFonts w:cs="Arial"/>
          <w:color w:val="0070C0"/>
          <w:sz w:val="24"/>
          <w:szCs w:val="24"/>
        </w:rPr>
        <w:t xml:space="preserve">, or when the </w:t>
      </w:r>
      <w:proofErr w:type="spellStart"/>
      <w:r w:rsidR="00BE05A5">
        <w:rPr>
          <w:rStyle w:val="markedcontent"/>
          <w:rFonts w:cs="Arial"/>
          <w:color w:val="0070C0"/>
          <w:sz w:val="24"/>
          <w:szCs w:val="24"/>
        </w:rPr>
        <w:t>Rituxumab</w:t>
      </w:r>
      <w:proofErr w:type="spellEnd"/>
      <w:r w:rsidR="00BE05A5">
        <w:rPr>
          <w:rStyle w:val="markedcontent"/>
          <w:rFonts w:cs="Arial"/>
          <w:color w:val="0070C0"/>
          <w:sz w:val="24"/>
          <w:szCs w:val="24"/>
        </w:rPr>
        <w:t xml:space="preserve"> course is finished.</w:t>
      </w:r>
    </w:p>
    <w:p w14:paraId="45AB3943" w14:textId="7804CA71" w:rsidR="00F8243E" w:rsidRPr="000D2C89" w:rsidRDefault="004C132C" w:rsidP="004C132C">
      <w:pPr>
        <w:rPr>
          <w:rStyle w:val="markedcontent"/>
          <w:rFonts w:cs="Arial"/>
          <w:sz w:val="32"/>
          <w:szCs w:val="32"/>
        </w:rPr>
      </w:pPr>
      <w:r w:rsidRPr="000D2C89">
        <w:br/>
      </w:r>
      <w:r w:rsidRPr="000D2C89">
        <w:br/>
      </w:r>
      <w:r w:rsidR="00F8243E" w:rsidRPr="000D2C89">
        <w:rPr>
          <w:rStyle w:val="markedcontent"/>
          <w:rFonts w:cs="Arial"/>
          <w:sz w:val="32"/>
          <w:szCs w:val="32"/>
        </w:rPr>
        <w:t>3. Consumers with chronic immune-mediated inflammatory</w:t>
      </w:r>
      <w:r w:rsidR="00E20128" w:rsidRPr="000D2C89">
        <w:rPr>
          <w:rStyle w:val="markedcontent"/>
          <w:rFonts w:cs="Arial"/>
          <w:sz w:val="32"/>
          <w:szCs w:val="32"/>
        </w:rPr>
        <w:t xml:space="preserve"> </w:t>
      </w:r>
      <w:r w:rsidR="00F8243E" w:rsidRPr="000D2C89">
        <w:rPr>
          <w:rStyle w:val="markedcontent"/>
          <w:rFonts w:cs="Arial"/>
          <w:sz w:val="32"/>
          <w:szCs w:val="32"/>
        </w:rPr>
        <w:t>disease who were receiving or had received</w:t>
      </w:r>
      <w:r w:rsidR="00E20128" w:rsidRPr="000D2C89">
        <w:rPr>
          <w:rStyle w:val="markedcontent"/>
          <w:rFonts w:cs="Arial"/>
          <w:sz w:val="32"/>
          <w:szCs w:val="32"/>
        </w:rPr>
        <w:t xml:space="preserve"> </w:t>
      </w:r>
      <w:r w:rsidR="00F8243E" w:rsidRPr="000D2C89">
        <w:rPr>
          <w:rStyle w:val="markedcontent"/>
          <w:rFonts w:cs="Arial"/>
          <w:sz w:val="32"/>
          <w:szCs w:val="32"/>
        </w:rPr>
        <w:t>immunosuppressive therapy prior to vaccination</w:t>
      </w:r>
    </w:p>
    <w:p w14:paraId="19BA12F4" w14:textId="260C20EF" w:rsidR="00F8243E" w:rsidRPr="000D2C89" w:rsidRDefault="00F8243E" w:rsidP="00F8243E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 xml:space="preserve">3.1 Those on, or have been on, </w:t>
      </w:r>
      <w:r w:rsidRPr="000D2C89">
        <w:rPr>
          <w:rStyle w:val="markedcontent"/>
          <w:rFonts w:cs="Arial"/>
          <w:b/>
          <w:bCs/>
          <w:sz w:val="24"/>
          <w:szCs w:val="24"/>
        </w:rPr>
        <w:t xml:space="preserve">high dose corticosteroids (equivalent to ≥20mg </w:t>
      </w:r>
      <w:r w:rsidRPr="000D2C89">
        <w:rPr>
          <w:b/>
          <w:bCs/>
          <w:sz w:val="24"/>
          <w:szCs w:val="24"/>
        </w:rPr>
        <w:br/>
      </w:r>
      <w:r w:rsidRPr="000D2C89">
        <w:rPr>
          <w:rStyle w:val="markedcontent"/>
          <w:rFonts w:cs="Arial"/>
          <w:b/>
          <w:bCs/>
          <w:sz w:val="24"/>
          <w:szCs w:val="24"/>
        </w:rPr>
        <w:t>prednisolone per day) for more than 10 days in the previous month.</w:t>
      </w:r>
      <w:r w:rsidRPr="000D2C89">
        <w:rPr>
          <w:rStyle w:val="markedcontent"/>
          <w:rFonts w:cs="Arial"/>
          <w:sz w:val="24"/>
          <w:szCs w:val="24"/>
        </w:rPr>
        <w:t xml:space="preserve">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color w:val="0070C0"/>
          <w:sz w:val="24"/>
          <w:szCs w:val="24"/>
        </w:rPr>
        <w:t>Prednisone is commonly prescribed in Aotearoa, and is equivalent per mg to Prednisolone.</w:t>
      </w:r>
    </w:p>
    <w:p w14:paraId="11851E75" w14:textId="563CFD69" w:rsidR="003C0853" w:rsidRPr="000D2C89" w:rsidRDefault="00F8243E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AE4320">
        <w:rPr>
          <w:rStyle w:val="markedcontent"/>
          <w:rFonts w:cs="Arial"/>
          <w:b/>
          <w:color w:val="0070C0"/>
          <w:sz w:val="24"/>
          <w:szCs w:val="24"/>
        </w:rPr>
        <w:t>IBD and AIH: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Patients who have received a standard 6- 8 week tapering course of Prednisone in the month prior to </w:t>
      </w:r>
      <w:r w:rsidR="00E20128" w:rsidRPr="000D2C89">
        <w:rPr>
          <w:rStyle w:val="markedcontent"/>
          <w:rFonts w:cs="Arial"/>
          <w:color w:val="0070C0"/>
          <w:sz w:val="24"/>
          <w:szCs w:val="24"/>
        </w:rPr>
        <w:t>the publication of this guideline in October 2021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will be eligible for </w:t>
      </w:r>
      <w:r w:rsidR="002D79A2" w:rsidRPr="000D2C89">
        <w:rPr>
          <w:rStyle w:val="markedcontent"/>
          <w:rFonts w:cs="Arial"/>
          <w:color w:val="0070C0"/>
          <w:sz w:val="24"/>
          <w:szCs w:val="24"/>
        </w:rPr>
        <w:t>a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3C0853" w:rsidRPr="000D2C89">
        <w:rPr>
          <w:rStyle w:val="markedcontent"/>
          <w:rFonts w:cs="Arial"/>
          <w:color w:val="0070C0"/>
          <w:sz w:val="24"/>
          <w:szCs w:val="24"/>
        </w:rPr>
        <w:t>third primary dose of COVID-19 vaccine.</w:t>
      </w:r>
    </w:p>
    <w:p w14:paraId="643FAD73" w14:textId="36B32452" w:rsidR="00F8243E" w:rsidRPr="000D2C89" w:rsidRDefault="00F8243E" w:rsidP="004C132C">
      <w:pPr>
        <w:rPr>
          <w:rStyle w:val="markedcontent"/>
          <w:rFonts w:cs="Arial"/>
          <w:b/>
          <w:bCs/>
          <w:sz w:val="24"/>
          <w:szCs w:val="24"/>
        </w:rPr>
      </w:pP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 xml:space="preserve">3.2 Those on </w:t>
      </w:r>
      <w:r w:rsidRPr="000D2C89">
        <w:rPr>
          <w:rStyle w:val="markedcontent"/>
          <w:rFonts w:cs="Arial"/>
          <w:b/>
          <w:bCs/>
          <w:sz w:val="24"/>
          <w:szCs w:val="24"/>
        </w:rPr>
        <w:t xml:space="preserve">long-term moderate dose corticosteroids (equivalent to ≥10mg </w:t>
      </w:r>
      <w:r w:rsidRPr="000D2C89">
        <w:rPr>
          <w:b/>
          <w:bCs/>
          <w:sz w:val="24"/>
          <w:szCs w:val="24"/>
        </w:rPr>
        <w:br/>
      </w:r>
      <w:r w:rsidRPr="000D2C89">
        <w:rPr>
          <w:rStyle w:val="markedcontent"/>
          <w:rFonts w:cs="Arial"/>
          <w:b/>
          <w:bCs/>
          <w:sz w:val="24"/>
          <w:szCs w:val="24"/>
        </w:rPr>
        <w:t xml:space="preserve">prednisolone per day for more than four weeks) in the previous three months. </w:t>
      </w:r>
    </w:p>
    <w:p w14:paraId="78635327" w14:textId="5A9D04C7" w:rsidR="00F8243E" w:rsidRPr="000D2C89" w:rsidRDefault="00F8243E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Patients with IBD can receive a tapering course of Prednisone for 6 – 8 weeks, with typical regime</w:t>
      </w:r>
      <w:r w:rsidR="002D79A2" w:rsidRPr="000D2C89">
        <w:rPr>
          <w:rStyle w:val="markedcontent"/>
          <w:rFonts w:cs="Arial"/>
          <w:color w:val="0070C0"/>
          <w:sz w:val="24"/>
          <w:szCs w:val="24"/>
        </w:rPr>
        <w:t>n</w:t>
      </w:r>
      <w:r w:rsidRPr="000D2C89">
        <w:rPr>
          <w:rStyle w:val="markedcontent"/>
          <w:rFonts w:cs="Arial"/>
          <w:color w:val="0070C0"/>
          <w:sz w:val="24"/>
          <w:szCs w:val="24"/>
        </w:rPr>
        <w:t>s such as:</w:t>
      </w:r>
    </w:p>
    <w:p w14:paraId="5046277C" w14:textId="7CD28B1E" w:rsidR="00855FA5" w:rsidRPr="000D2C89" w:rsidRDefault="00F8243E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40m</w:t>
      </w:r>
      <w:r w:rsidR="002D79A2" w:rsidRPr="000D2C89">
        <w:rPr>
          <w:rStyle w:val="markedcontent"/>
          <w:rFonts w:cs="Arial"/>
          <w:color w:val="0070C0"/>
          <w:sz w:val="24"/>
          <w:szCs w:val="24"/>
        </w:rPr>
        <w:t>g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daily for one week, 30mg daily for one week, 20mg daily  for one week, 15 mg daily for one week, 10 mg daily for one week, 5 mg daily for 1 week.</w:t>
      </w:r>
      <w:r w:rsidR="00855FA5" w:rsidRPr="000D2C89">
        <w:rPr>
          <w:rStyle w:val="markedcontent"/>
          <w:rFonts w:cs="Arial"/>
          <w:color w:val="0070C0"/>
          <w:sz w:val="24"/>
          <w:szCs w:val="24"/>
        </w:rPr>
        <w:t xml:space="preserve"> </w:t>
      </w:r>
    </w:p>
    <w:p w14:paraId="12E3D061" w14:textId="77777777" w:rsidR="00041489" w:rsidRDefault="00855FA5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 xml:space="preserve">OR: 40mg for one week, reducing by 5mg per week over 8 weeks. </w:t>
      </w:r>
    </w:p>
    <w:p w14:paraId="42259C47" w14:textId="48BDE2BE" w:rsidR="00855FA5" w:rsidRPr="000D2C89" w:rsidRDefault="00855FA5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 xml:space="preserve">These courses are equivalent to approx. 20 mg </w:t>
      </w:r>
      <w:r w:rsidR="0057611A" w:rsidRPr="000D2C89">
        <w:rPr>
          <w:rStyle w:val="markedcontent"/>
          <w:rFonts w:cs="Arial"/>
          <w:color w:val="0070C0"/>
          <w:sz w:val="24"/>
          <w:szCs w:val="24"/>
        </w:rPr>
        <w:t>daily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, therefore all such patients who have received a standard tapering course of steroids in the previous 3 months will be eligible for a 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third primary dose of COVID-19 vaccine.</w:t>
      </w:r>
      <w:r w:rsidR="00F8243E" w:rsidRPr="000D2C89">
        <w:rPr>
          <w:color w:val="0070C0"/>
          <w:sz w:val="20"/>
          <w:szCs w:val="20"/>
        </w:rPr>
        <w:br/>
      </w:r>
      <w:r w:rsidR="00F8243E" w:rsidRPr="000D2C89">
        <w:rPr>
          <w:sz w:val="20"/>
          <w:szCs w:val="20"/>
        </w:rPr>
        <w:br/>
      </w:r>
      <w:r w:rsidR="00F8243E" w:rsidRPr="000D2C89">
        <w:rPr>
          <w:rStyle w:val="markedcontent"/>
          <w:rFonts w:cs="Arial"/>
          <w:sz w:val="24"/>
          <w:szCs w:val="24"/>
        </w:rPr>
        <w:t xml:space="preserve">3.3 Those with </w:t>
      </w:r>
      <w:r w:rsidR="00F8243E" w:rsidRPr="000D2C89">
        <w:rPr>
          <w:rStyle w:val="markedcontent"/>
          <w:rFonts w:cs="Arial"/>
          <w:b/>
          <w:bCs/>
          <w:sz w:val="24"/>
          <w:szCs w:val="24"/>
        </w:rPr>
        <w:t>non-biological oral immune modulating drugs</w:t>
      </w:r>
      <w:r w:rsidR="00F8243E" w:rsidRPr="000D2C89">
        <w:rPr>
          <w:rStyle w:val="markedcontent"/>
          <w:rFonts w:cs="Arial"/>
          <w:sz w:val="24"/>
          <w:szCs w:val="24"/>
        </w:rPr>
        <w:t>, such as methotrexate</w:t>
      </w:r>
      <w:r w:rsidR="000D2C89">
        <w:rPr>
          <w:rStyle w:val="markedcontent"/>
          <w:rFonts w:cs="Arial"/>
          <w:sz w:val="24"/>
          <w:szCs w:val="24"/>
        </w:rPr>
        <w:t>, azathioprine</w:t>
      </w:r>
      <w:r w:rsidR="00F8243E" w:rsidRPr="000D2C89">
        <w:rPr>
          <w:rStyle w:val="markedcontent"/>
          <w:rFonts w:cs="Arial"/>
          <w:sz w:val="24"/>
          <w:szCs w:val="24"/>
        </w:rPr>
        <w:t xml:space="preserve">, 6-mercaptopurine, mycophenolate in the previous three months. </w:t>
      </w:r>
    </w:p>
    <w:p w14:paraId="393E41C5" w14:textId="2171D414" w:rsidR="007C7643" w:rsidRPr="000D2C89" w:rsidRDefault="007C7643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AE4320">
        <w:rPr>
          <w:rStyle w:val="markedcontent"/>
          <w:rFonts w:cs="Arial"/>
          <w:b/>
          <w:color w:val="0070C0"/>
          <w:sz w:val="24"/>
          <w:szCs w:val="24"/>
        </w:rPr>
        <w:lastRenderedPageBreak/>
        <w:t>Please note: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NZSG’s recommendations for 3.3 are different to those in the current </w:t>
      </w:r>
      <w:r w:rsidR="00041489">
        <w:rPr>
          <w:rStyle w:val="markedcontent"/>
          <w:rFonts w:cs="Arial"/>
          <w:color w:val="0070C0"/>
          <w:sz w:val="24"/>
          <w:szCs w:val="24"/>
        </w:rPr>
        <w:t xml:space="preserve">policy </w:t>
      </w:r>
      <w:r w:rsidR="004D5CC2" w:rsidRPr="000D2C89">
        <w:rPr>
          <w:rStyle w:val="markedcontent"/>
          <w:rFonts w:cs="Arial"/>
          <w:color w:val="0070C0"/>
          <w:sz w:val="24"/>
          <w:szCs w:val="24"/>
        </w:rPr>
        <w:t>where specific doses are mentioned</w:t>
      </w:r>
      <w:r w:rsidRPr="000D2C89">
        <w:rPr>
          <w:rStyle w:val="markedcontent"/>
          <w:rFonts w:cs="Arial"/>
          <w:color w:val="0070C0"/>
          <w:sz w:val="24"/>
          <w:szCs w:val="24"/>
        </w:rPr>
        <w:t>. NZSG, in the interests of transparency and communication, welcomes any discussion from members as well as similar organisations. NZSG has opted for a pragmatic approach</w:t>
      </w:r>
      <w:r w:rsidR="00041489">
        <w:rPr>
          <w:rStyle w:val="markedcontent"/>
          <w:rFonts w:cs="Arial"/>
          <w:color w:val="0070C0"/>
          <w:sz w:val="24"/>
          <w:szCs w:val="24"/>
        </w:rPr>
        <w:t xml:space="preserve"> for these Practice Points based on current prescribing practice, pharmacological knowledge and input from immunology.</w:t>
      </w:r>
    </w:p>
    <w:p w14:paraId="5E666C4B" w14:textId="77777777" w:rsidR="00855FA5" w:rsidRPr="000D2C89" w:rsidRDefault="00855FA5" w:rsidP="00E20128">
      <w:pPr>
        <w:pStyle w:val="Heading1"/>
        <w:rPr>
          <w:rStyle w:val="markedcontent"/>
          <w:rFonts w:asciiTheme="minorHAnsi" w:hAnsiTheme="minorHAnsi"/>
          <w:color w:val="0070C0"/>
        </w:rPr>
      </w:pPr>
      <w:r w:rsidRPr="000D2C89">
        <w:rPr>
          <w:rStyle w:val="markedcontent"/>
          <w:rFonts w:asciiTheme="minorHAnsi" w:hAnsiTheme="minorHAnsi"/>
          <w:color w:val="0070C0"/>
        </w:rPr>
        <w:t xml:space="preserve">Methotrexate: </w:t>
      </w:r>
    </w:p>
    <w:p w14:paraId="6A2A0AFB" w14:textId="77777777" w:rsidR="00041489" w:rsidRDefault="00855FA5" w:rsidP="00C44A5F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I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n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gastroenterology, the dose </w:t>
      </w:r>
      <w:r w:rsidR="00041489">
        <w:rPr>
          <w:rStyle w:val="markedcontent"/>
          <w:rFonts w:cs="Arial"/>
          <w:color w:val="0070C0"/>
          <w:sz w:val="24"/>
          <w:szCs w:val="24"/>
        </w:rPr>
        <w:t xml:space="preserve">of methotrexate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can vary </w:t>
      </w:r>
      <w:r w:rsidR="002D79A2" w:rsidRPr="000D2C89">
        <w:rPr>
          <w:rStyle w:val="markedcontent"/>
          <w:rFonts w:cs="Arial"/>
          <w:color w:val="0070C0"/>
          <w:sz w:val="24"/>
          <w:szCs w:val="24"/>
        </w:rPr>
        <w:t xml:space="preserve">up to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25 mg weekly depending on body weight as well as disease activity. It is the opinion of NZSG </w:t>
      </w:r>
      <w:r w:rsidR="00041489">
        <w:rPr>
          <w:rStyle w:val="markedcontent"/>
          <w:rFonts w:cs="Arial"/>
          <w:color w:val="0070C0"/>
          <w:sz w:val="24"/>
          <w:szCs w:val="24"/>
        </w:rPr>
        <w:t xml:space="preserve">that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all patients who receive oral or subcutaneous methotrexate to treat inflammatory bowel disease or autoimmune liver disease </w:t>
      </w:r>
      <w:r w:rsidR="002D79A2" w:rsidRPr="000D2C89">
        <w:rPr>
          <w:rStyle w:val="markedcontent"/>
          <w:rFonts w:cs="Arial"/>
          <w:color w:val="0070C0"/>
          <w:sz w:val="24"/>
          <w:szCs w:val="24"/>
        </w:rPr>
        <w:t>should be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offered a third </w:t>
      </w:r>
      <w:r w:rsidR="0057611A" w:rsidRPr="000D2C89">
        <w:rPr>
          <w:rStyle w:val="markedcontent"/>
          <w:rFonts w:cs="Arial"/>
          <w:color w:val="0070C0"/>
          <w:sz w:val="24"/>
          <w:szCs w:val="24"/>
        </w:rPr>
        <w:t xml:space="preserve">primary dose 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 xml:space="preserve">of the </w:t>
      </w:r>
      <w:r w:rsidRPr="000D2C89">
        <w:rPr>
          <w:rStyle w:val="markedcontent"/>
          <w:rFonts w:cs="Arial"/>
          <w:color w:val="0070C0"/>
          <w:sz w:val="24"/>
          <w:szCs w:val="24"/>
        </w:rPr>
        <w:t>C</w:t>
      </w:r>
      <w:r w:rsidR="0057611A" w:rsidRPr="000D2C89">
        <w:rPr>
          <w:rStyle w:val="markedcontent"/>
          <w:rFonts w:cs="Arial"/>
          <w:color w:val="0070C0"/>
          <w:sz w:val="24"/>
          <w:szCs w:val="24"/>
        </w:rPr>
        <w:t>OVID-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19 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>vaccine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. </w:t>
      </w:r>
    </w:p>
    <w:p w14:paraId="6E279288" w14:textId="77777777" w:rsidR="00041489" w:rsidRDefault="00855FA5" w:rsidP="00041489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b/>
          <w:color w:val="0070C0"/>
          <w:sz w:val="24"/>
          <w:szCs w:val="24"/>
        </w:rPr>
        <w:t>Timing: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Ideally, patients on methotrexate should receive their 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 </w:t>
      </w:r>
      <w:r w:rsidRPr="000D2C89">
        <w:rPr>
          <w:rStyle w:val="markedcontent"/>
          <w:rFonts w:cs="Arial"/>
          <w:color w:val="0070C0"/>
          <w:sz w:val="24"/>
          <w:szCs w:val="24"/>
        </w:rPr>
        <w:t>the day before</w:t>
      </w:r>
      <w:r w:rsidR="0031610F" w:rsidRPr="000D2C89">
        <w:rPr>
          <w:rStyle w:val="markedcontent"/>
          <w:rFonts w:cs="Arial"/>
          <w:color w:val="0070C0"/>
          <w:sz w:val="24"/>
          <w:szCs w:val="24"/>
        </w:rPr>
        <w:t xml:space="preserve"> the usual methotrexate day (Methotrexate is often prescribed on a Monday for example, so ideally would receive the third dose on Sunday, or alternatively receive the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>ir third primary dose of COVID-19 vaccine</w:t>
      </w:r>
      <w:r w:rsidR="0031610F" w:rsidRPr="000D2C89">
        <w:rPr>
          <w:rStyle w:val="markedcontent"/>
          <w:rFonts w:cs="Arial"/>
          <w:color w:val="0070C0"/>
          <w:sz w:val="24"/>
          <w:szCs w:val="24"/>
        </w:rPr>
        <w:t xml:space="preserve"> on Monday morning, and delay methotrexate until Tuesday morning)</w:t>
      </w:r>
    </w:p>
    <w:p w14:paraId="29CE7B14" w14:textId="77777777" w:rsidR="00041489" w:rsidRDefault="00855FA5" w:rsidP="00041489">
      <w:pPr>
        <w:pStyle w:val="Heading1"/>
        <w:rPr>
          <w:rStyle w:val="markedcontent"/>
          <w:color w:val="0070C0"/>
        </w:rPr>
      </w:pPr>
      <w:r w:rsidRPr="000D2C89">
        <w:rPr>
          <w:rStyle w:val="markedcontent"/>
          <w:rFonts w:asciiTheme="minorHAnsi" w:hAnsiTheme="minorHAnsi"/>
          <w:color w:val="0070C0"/>
        </w:rPr>
        <w:t xml:space="preserve">Thiopurines: Azathioprine, </w:t>
      </w:r>
      <w:r w:rsidR="00C04670" w:rsidRPr="000D2C89">
        <w:rPr>
          <w:rStyle w:val="markedcontent"/>
          <w:rFonts w:asciiTheme="minorHAnsi" w:hAnsiTheme="minorHAnsi"/>
          <w:color w:val="0070C0"/>
        </w:rPr>
        <w:t>6-</w:t>
      </w:r>
      <w:r w:rsidRPr="000D2C89">
        <w:rPr>
          <w:rStyle w:val="markedcontent"/>
          <w:rFonts w:asciiTheme="minorHAnsi" w:hAnsiTheme="minorHAnsi"/>
          <w:color w:val="0070C0"/>
        </w:rPr>
        <w:t>mercaptoprine and tioguanine</w:t>
      </w:r>
      <w:r w:rsidR="009B4823" w:rsidRPr="000D2C89">
        <w:rPr>
          <w:rStyle w:val="markedcontent"/>
          <w:rFonts w:asciiTheme="minorHAnsi" w:hAnsiTheme="minorHAnsi"/>
          <w:color w:val="0070C0"/>
        </w:rPr>
        <w:t xml:space="preserve"> (thioguanine)</w:t>
      </w:r>
      <w:r w:rsidRPr="000D2C89">
        <w:rPr>
          <w:rStyle w:val="markedcontent"/>
          <w:rFonts w:asciiTheme="minorHAnsi" w:hAnsiTheme="minorHAnsi"/>
          <w:color w:val="0070C0"/>
        </w:rPr>
        <w:t>:</w:t>
      </w:r>
    </w:p>
    <w:p w14:paraId="7EA7276E" w14:textId="471B92E7" w:rsidR="00041489" w:rsidRDefault="00855FA5" w:rsidP="00041489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 xml:space="preserve">These medications are commonly prescribed for inflammatory bowel disease and autoimmune liver disease. They are also prescribed for liver transplant.  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>M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ost patients with these conditions receive medication that is adjusted using therapeutic drug 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 xml:space="preserve">monitoring and disease activity </w:t>
      </w:r>
      <w:r w:rsidR="00041489">
        <w:rPr>
          <w:rStyle w:val="markedcontent"/>
          <w:rFonts w:cs="Arial"/>
          <w:color w:val="0070C0"/>
          <w:sz w:val="24"/>
          <w:szCs w:val="24"/>
        </w:rPr>
        <w:t xml:space="preserve">to balance risk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and benefit, rather than </w:t>
      </w:r>
      <w:r w:rsidR="00640084">
        <w:rPr>
          <w:rStyle w:val="markedcontent"/>
          <w:rFonts w:cs="Arial"/>
          <w:color w:val="0070C0"/>
          <w:sz w:val="24"/>
          <w:szCs w:val="24"/>
        </w:rPr>
        <w:t>milligrams per kilogram body weight</w:t>
      </w:r>
      <w:r w:rsidRPr="000D2C89">
        <w:rPr>
          <w:rStyle w:val="markedcontent"/>
          <w:rFonts w:cs="Arial"/>
          <w:color w:val="0070C0"/>
          <w:sz w:val="24"/>
          <w:szCs w:val="24"/>
        </w:rPr>
        <w:t>. NZSG’s opinion is that all patients who receive azathioprine, mercaptopurine or tioguanine to treat IBD or autoimmune liver disease are offered a third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 xml:space="preserve"> primary dose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C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>OVID-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19 vaccination. </w:t>
      </w:r>
    </w:p>
    <w:p w14:paraId="5B33B672" w14:textId="26D7A640" w:rsidR="00041489" w:rsidRDefault="0031610F" w:rsidP="00041489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b/>
          <w:color w:val="0070C0"/>
          <w:sz w:val="24"/>
          <w:szCs w:val="24"/>
        </w:rPr>
        <w:t xml:space="preserve">Timing: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The </w:t>
      </w:r>
      <w:r w:rsidR="00640084">
        <w:rPr>
          <w:rStyle w:val="markedcontent"/>
          <w:rFonts w:cs="Arial"/>
          <w:color w:val="0070C0"/>
          <w:sz w:val="24"/>
          <w:szCs w:val="24"/>
        </w:rPr>
        <w:t>clearance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 of thiopurine medication is </w:t>
      </w:r>
      <w:r w:rsidR="00640084">
        <w:rPr>
          <w:rStyle w:val="markedcontent"/>
          <w:rFonts w:cs="Arial"/>
          <w:color w:val="0070C0"/>
          <w:sz w:val="24"/>
          <w:szCs w:val="24"/>
        </w:rPr>
        <w:t>slow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. Being mindful of the current environment of limited therapeutic options for people with inflammatory bowel disease, whether to offer a treatment break for at least 8 weeks prior to the 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 </w:t>
      </w:r>
      <w:r w:rsidRPr="000D2C89">
        <w:rPr>
          <w:rStyle w:val="markedcontent"/>
          <w:rFonts w:cs="Arial"/>
          <w:color w:val="0070C0"/>
          <w:sz w:val="24"/>
          <w:szCs w:val="24"/>
        </w:rPr>
        <w:t>will require a careful assessment of disease activity over the past 12-24 months, then discussion between the patient and their specialist team members.</w:t>
      </w:r>
      <w:r w:rsidR="00640084" w:rsidRPr="00640084">
        <w:rPr>
          <w:rStyle w:val="markedcontent"/>
          <w:rFonts w:cs="Arial"/>
          <w:color w:val="0070C0"/>
          <w:sz w:val="24"/>
          <w:szCs w:val="24"/>
        </w:rPr>
        <w:t xml:space="preserve"> </w:t>
      </w:r>
      <w:r w:rsidR="00640084">
        <w:rPr>
          <w:rStyle w:val="markedcontent"/>
          <w:rFonts w:cs="Arial"/>
          <w:color w:val="0070C0"/>
          <w:sz w:val="24"/>
          <w:szCs w:val="24"/>
        </w:rPr>
        <w:t>Many patients may not be able to stop the thiopurine for the third vaccine.</w:t>
      </w:r>
    </w:p>
    <w:p w14:paraId="7CD05310" w14:textId="668F02D7" w:rsidR="00DC3356" w:rsidRPr="00041489" w:rsidRDefault="00DC3356" w:rsidP="00041489">
      <w:pPr>
        <w:pStyle w:val="Heading1"/>
        <w:rPr>
          <w:rStyle w:val="markedcontent"/>
          <w:rFonts w:asciiTheme="minorHAnsi" w:hAnsiTheme="minorHAnsi" w:cs="Arial"/>
          <w:color w:val="0070C0"/>
          <w:sz w:val="24"/>
          <w:szCs w:val="24"/>
        </w:rPr>
      </w:pPr>
      <w:r w:rsidRPr="000D2C89">
        <w:rPr>
          <w:rStyle w:val="markedcontent"/>
          <w:rFonts w:asciiTheme="minorHAnsi" w:hAnsiTheme="minorHAnsi"/>
          <w:color w:val="0070C0"/>
        </w:rPr>
        <w:lastRenderedPageBreak/>
        <w:t xml:space="preserve">Other immune suppressants: </w:t>
      </w:r>
      <w:r w:rsidR="003F0CA0" w:rsidRPr="000D2C89">
        <w:rPr>
          <w:rStyle w:val="markedcontent"/>
          <w:rFonts w:asciiTheme="minorHAnsi" w:hAnsiTheme="minorHAnsi"/>
          <w:color w:val="0070C0"/>
        </w:rPr>
        <w:t>Mycophenolate</w:t>
      </w:r>
      <w:r w:rsidR="00041489">
        <w:rPr>
          <w:rStyle w:val="markedcontent"/>
          <w:rFonts w:asciiTheme="minorHAnsi" w:hAnsiTheme="minorHAnsi"/>
          <w:color w:val="0070C0"/>
        </w:rPr>
        <w:t xml:space="preserve"> mofetil</w:t>
      </w:r>
      <w:r w:rsidR="003F0CA0" w:rsidRPr="000D2C89">
        <w:rPr>
          <w:rStyle w:val="markedcontent"/>
          <w:rFonts w:asciiTheme="minorHAnsi" w:hAnsiTheme="minorHAnsi"/>
          <w:color w:val="0070C0"/>
        </w:rPr>
        <w:t xml:space="preserve">, Tacrolimus, </w:t>
      </w:r>
      <w:r w:rsidR="009B4823" w:rsidRPr="000D2C89">
        <w:rPr>
          <w:rStyle w:val="markedcontent"/>
          <w:rFonts w:asciiTheme="minorHAnsi" w:hAnsiTheme="minorHAnsi"/>
          <w:color w:val="0070C0"/>
        </w:rPr>
        <w:t xml:space="preserve">Ciclosporin, </w:t>
      </w:r>
      <w:proofErr w:type="spellStart"/>
      <w:r w:rsidR="003F0CA0" w:rsidRPr="000D2C89">
        <w:rPr>
          <w:rStyle w:val="markedcontent"/>
          <w:rFonts w:asciiTheme="minorHAnsi" w:hAnsiTheme="minorHAnsi"/>
          <w:color w:val="0070C0"/>
        </w:rPr>
        <w:t>Everolimus</w:t>
      </w:r>
      <w:proofErr w:type="spellEnd"/>
    </w:p>
    <w:p w14:paraId="7F3081CD" w14:textId="77777777" w:rsidR="000D2C89" w:rsidRDefault="003F0CA0" w:rsidP="00E20128">
      <w:pPr>
        <w:pStyle w:val="Heading1"/>
        <w:rPr>
          <w:rStyle w:val="markedcontent"/>
          <w:rFonts w:asciiTheme="minorHAnsi" w:hAnsiTheme="minorHAnsi" w:cs="Arial"/>
          <w:color w:val="0070C0"/>
          <w:sz w:val="24"/>
          <w:szCs w:val="24"/>
        </w:rPr>
      </w:pPr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Sometimes these medications are prescribed out of a transplant setting, for example, for IBD or autoimmune liver disease.</w:t>
      </w:r>
      <w:r w:rsid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</w:t>
      </w:r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NZSG’s opinion is that patients receiving these medications for this indication should be offered a third</w:t>
      </w:r>
      <w:r w:rsidR="009B4823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primary dose</w:t>
      </w:r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Covid</w:t>
      </w:r>
      <w:r w:rsidR="009B4823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-</w:t>
      </w:r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19 vaccine. </w:t>
      </w:r>
    </w:p>
    <w:p w14:paraId="6E14F8AF" w14:textId="77777777" w:rsidR="00A07DF5" w:rsidRDefault="000D2C89" w:rsidP="00E20128">
      <w:pPr>
        <w:pStyle w:val="Heading1"/>
        <w:rPr>
          <w:rStyle w:val="markedcontent"/>
          <w:rFonts w:asciiTheme="minorHAnsi" w:hAnsiTheme="minorHAnsi" w:cs="Arial"/>
          <w:color w:val="0070C0"/>
          <w:sz w:val="24"/>
          <w:szCs w:val="24"/>
        </w:rPr>
      </w:pPr>
      <w:r w:rsidRPr="000D2C89">
        <w:rPr>
          <w:rStyle w:val="markedcontent"/>
          <w:rFonts w:asciiTheme="minorHAnsi" w:hAnsiTheme="minorHAnsi" w:cs="Arial"/>
          <w:b/>
          <w:color w:val="0070C0"/>
          <w:sz w:val="24"/>
          <w:szCs w:val="24"/>
        </w:rPr>
        <w:t>Timing:</w:t>
      </w:r>
      <w:r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The third primary vaccine dose</w:t>
      </w:r>
      <w:r w:rsidR="003F0CA0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should be timed at least 8 weeks after the second vaccine. Generally, patients who need medications such as Tacrolimus and </w:t>
      </w:r>
      <w:r w:rsidR="00E20128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M</w:t>
      </w:r>
      <w:r w:rsidR="003F0CA0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ycophenolate have significant disease, and are </w:t>
      </w:r>
      <w:proofErr w:type="spellStart"/>
      <w:r w:rsidR="003F0CA0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unli</w:t>
      </w:r>
      <w:proofErr w:type="spellEnd"/>
    </w:p>
    <w:p w14:paraId="7AD0F1C9" w14:textId="35953C59" w:rsidR="003F0CA0" w:rsidRPr="000D2C89" w:rsidRDefault="003F0CA0" w:rsidP="00E20128">
      <w:pPr>
        <w:pStyle w:val="Heading1"/>
        <w:rPr>
          <w:rStyle w:val="markedcontent"/>
          <w:rFonts w:asciiTheme="minorHAnsi" w:hAnsiTheme="minorHAnsi" w:cs="Arial"/>
          <w:color w:val="0070C0"/>
          <w:sz w:val="24"/>
          <w:szCs w:val="24"/>
        </w:rPr>
      </w:pPr>
      <w:proofErr w:type="spellStart"/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kely</w:t>
      </w:r>
      <w:proofErr w:type="spellEnd"/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to tolerate a drug holiday</w:t>
      </w:r>
      <w:r w:rsidR="002D79A2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:</w:t>
      </w:r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 xml:space="preserve"> </w:t>
      </w:r>
      <w:r w:rsidR="009B4823"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T</w:t>
      </w:r>
      <w:r w:rsidRPr="000D2C89">
        <w:rPr>
          <w:rStyle w:val="markedcontent"/>
          <w:rFonts w:asciiTheme="minorHAnsi" w:hAnsiTheme="minorHAnsi" w:cs="Arial"/>
          <w:color w:val="0070C0"/>
          <w:sz w:val="24"/>
          <w:szCs w:val="24"/>
        </w:rPr>
        <w:t>his would require careful consideration between the patient and their treating specialist team.</w:t>
      </w:r>
    </w:p>
    <w:p w14:paraId="7948E7D5" w14:textId="5E97236F" w:rsidR="00F8243E" w:rsidRPr="000D2C89" w:rsidRDefault="00F8243E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sz w:val="20"/>
          <w:szCs w:val="20"/>
        </w:rPr>
        <w:br/>
      </w:r>
      <w:r w:rsidRPr="000D2C89">
        <w:rPr>
          <w:sz w:val="20"/>
          <w:szCs w:val="20"/>
        </w:rPr>
        <w:br/>
      </w:r>
      <w:r w:rsidRPr="000D2C89">
        <w:rPr>
          <w:rStyle w:val="markedcontent"/>
          <w:rFonts w:cs="Arial"/>
          <w:sz w:val="24"/>
          <w:szCs w:val="24"/>
        </w:rPr>
        <w:t>3.4 Those with certain combination therapies at individual doses lower than above, including those on ≥7.5mg prednisolone per day in combination with other immunosuppressants (other than hydroxychloroquine or sulfasalazine) and those receiving methotrexate (any dose) with leflunomide in the previous three months</w:t>
      </w:r>
    </w:p>
    <w:p w14:paraId="6413E616" w14:textId="1970BA4C" w:rsidR="00855FA5" w:rsidRPr="000D2C89" w:rsidRDefault="00855FA5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Practically speaking, this would include IBD or autoimmune liver disease patients who have received a course of steroids and also take an immune modulator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.</w:t>
      </w:r>
    </w:p>
    <w:p w14:paraId="6AEFCC42" w14:textId="636C9761" w:rsidR="009A71EB" w:rsidRPr="000D2C89" w:rsidRDefault="009A71EB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 xml:space="preserve">Patients who only receive </w:t>
      </w:r>
      <w:proofErr w:type="spellStart"/>
      <w:r w:rsidRPr="000D2C89">
        <w:rPr>
          <w:rStyle w:val="markedcontent"/>
          <w:rFonts w:cs="Arial"/>
          <w:color w:val="0070C0"/>
          <w:sz w:val="24"/>
          <w:szCs w:val="24"/>
        </w:rPr>
        <w:t>mesalazine</w:t>
      </w:r>
      <w:proofErr w:type="spellEnd"/>
      <w:r w:rsidRPr="000D2C89">
        <w:rPr>
          <w:rStyle w:val="markedcontent"/>
          <w:rFonts w:cs="Arial"/>
          <w:color w:val="0070C0"/>
          <w:sz w:val="24"/>
          <w:szCs w:val="24"/>
        </w:rPr>
        <w:t xml:space="preserve"> to treat Ulcerative Colitis (orally or topically) and have not required a course of steroids are expected to have a good response to two </w:t>
      </w:r>
      <w:r w:rsidR="009B4823" w:rsidRPr="000D2C89">
        <w:rPr>
          <w:rStyle w:val="markedcontent"/>
          <w:rFonts w:cs="Arial"/>
          <w:color w:val="0070C0"/>
          <w:sz w:val="24"/>
          <w:szCs w:val="24"/>
        </w:rPr>
        <w:t xml:space="preserve">primary </w:t>
      </w:r>
      <w:r w:rsidRPr="000D2C89">
        <w:rPr>
          <w:rStyle w:val="markedcontent"/>
          <w:rFonts w:cs="Arial"/>
          <w:color w:val="0070C0"/>
          <w:sz w:val="24"/>
          <w:szCs w:val="24"/>
        </w:rPr>
        <w:t>COVID-19 vaccines. These individuals may be eligible for a ‘booster’ vaccine</w:t>
      </w:r>
      <w:r w:rsidR="00E20128" w:rsidRPr="000D2C89">
        <w:rPr>
          <w:rStyle w:val="markedcontent"/>
          <w:rFonts w:cs="Arial"/>
          <w:color w:val="0070C0"/>
          <w:sz w:val="24"/>
          <w:szCs w:val="24"/>
        </w:rPr>
        <w:t xml:space="preserve"> at a later date</w:t>
      </w:r>
      <w:r w:rsidRPr="000D2C89">
        <w:rPr>
          <w:rStyle w:val="markedcontent"/>
          <w:rFonts w:cs="Arial"/>
          <w:color w:val="0070C0"/>
          <w:sz w:val="24"/>
          <w:szCs w:val="24"/>
        </w:rPr>
        <w:t>, which is different to the ‘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 xml:space="preserve">third primary dose of COVID-19 vaccine’ </w:t>
      </w:r>
      <w:r w:rsidRPr="000D2C89">
        <w:rPr>
          <w:rStyle w:val="markedcontent"/>
          <w:rFonts w:cs="Arial"/>
          <w:color w:val="0070C0"/>
          <w:sz w:val="24"/>
          <w:szCs w:val="24"/>
        </w:rPr>
        <w:t xml:space="preserve">described here. </w:t>
      </w:r>
    </w:p>
    <w:p w14:paraId="1C878E7A" w14:textId="1771AEB9" w:rsidR="009A71EB" w:rsidRPr="000D2C89" w:rsidRDefault="009A71EB" w:rsidP="004C132C">
      <w:pPr>
        <w:rPr>
          <w:rStyle w:val="markedcontent"/>
          <w:rFonts w:cs="Arial"/>
          <w:i/>
          <w:iCs/>
          <w:sz w:val="21"/>
          <w:szCs w:val="21"/>
        </w:rPr>
      </w:pPr>
    </w:p>
    <w:p w14:paraId="69974CD3" w14:textId="6B942933" w:rsidR="009A71EB" w:rsidRPr="000D2C89" w:rsidRDefault="009A71EB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32"/>
          <w:szCs w:val="32"/>
        </w:rPr>
        <w:t>4. Consumers who had received high-dose steroids for any reason in the month before vaccination</w:t>
      </w:r>
      <w:r w:rsidRPr="000D2C89">
        <w:rPr>
          <w:rStyle w:val="markedcontent"/>
          <w:rFonts w:cs="Arial"/>
          <w:sz w:val="38"/>
          <w:szCs w:val="38"/>
        </w:rPr>
        <w:t xml:space="preserve"> </w:t>
      </w:r>
      <w:r w:rsidRPr="000D2C89">
        <w:br/>
      </w:r>
      <w:r w:rsidRPr="000D2C89">
        <w:br/>
      </w:r>
      <w:r w:rsidRPr="000D2C89">
        <w:rPr>
          <w:rStyle w:val="markedcontent"/>
          <w:rFonts w:cs="Arial"/>
          <w:sz w:val="24"/>
          <w:szCs w:val="24"/>
        </w:rPr>
        <w:t xml:space="preserve">4.1 Those who had received high-dose steroids (equivalent to &gt;40mg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 xml:space="preserve">prednisolone per day for more than a week) for any reason in the month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 xml:space="preserve">before vaccination. </w:t>
      </w:r>
    </w:p>
    <w:p w14:paraId="7F489EDC" w14:textId="290601AE" w:rsidR="009A71EB" w:rsidRPr="000D2C89" w:rsidRDefault="009A71EB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Fonts w:cs="Arial"/>
          <w:color w:val="0070C0"/>
          <w:sz w:val="24"/>
          <w:szCs w:val="24"/>
        </w:rPr>
        <w:t>This criteria will</w:t>
      </w:r>
      <w:r w:rsidR="0038416E" w:rsidRPr="000D2C89">
        <w:rPr>
          <w:rFonts w:cs="Arial"/>
          <w:color w:val="0070C0"/>
          <w:sz w:val="24"/>
          <w:szCs w:val="24"/>
        </w:rPr>
        <w:t xml:space="preserve"> likely</w:t>
      </w:r>
      <w:r w:rsidRPr="000D2C89">
        <w:rPr>
          <w:rFonts w:cs="Arial"/>
          <w:color w:val="0070C0"/>
          <w:sz w:val="24"/>
          <w:szCs w:val="24"/>
        </w:rPr>
        <w:t xml:space="preserve"> include all patients who have received a</w:t>
      </w:r>
      <w:r w:rsidR="0038416E" w:rsidRPr="000D2C89">
        <w:rPr>
          <w:rFonts w:cs="Arial"/>
          <w:color w:val="0070C0"/>
          <w:sz w:val="24"/>
          <w:szCs w:val="24"/>
        </w:rPr>
        <w:t>ny</w:t>
      </w:r>
      <w:r w:rsidRPr="000D2C89">
        <w:rPr>
          <w:rFonts w:cs="Arial"/>
          <w:color w:val="0070C0"/>
          <w:sz w:val="24"/>
          <w:szCs w:val="24"/>
        </w:rPr>
        <w:t xml:space="preserve"> course of prednisone (</w:t>
      </w:r>
      <w:r w:rsidR="0038416E" w:rsidRPr="000D2C89">
        <w:rPr>
          <w:rFonts w:cs="Arial"/>
          <w:color w:val="0070C0"/>
          <w:sz w:val="24"/>
          <w:szCs w:val="24"/>
        </w:rPr>
        <w:t xml:space="preserve">such </w:t>
      </w:r>
      <w:r w:rsidRPr="000D2C89">
        <w:rPr>
          <w:rFonts w:cs="Arial"/>
          <w:color w:val="0070C0"/>
          <w:sz w:val="24"/>
          <w:szCs w:val="24"/>
        </w:rPr>
        <w:t xml:space="preserve">as described above) to treat IBD or autoimmune liver disease. These patients should be offered a </w:t>
      </w:r>
      <w:r w:rsidR="00C04670" w:rsidRPr="000D2C89">
        <w:rPr>
          <w:rStyle w:val="markedcontent"/>
          <w:rFonts w:cs="Arial"/>
          <w:color w:val="0070C0"/>
          <w:sz w:val="24"/>
          <w:szCs w:val="24"/>
        </w:rPr>
        <w:t>third primary dose of COVID-19 vaccine</w:t>
      </w:r>
      <w:r w:rsidRPr="000D2C89">
        <w:rPr>
          <w:rFonts w:cs="Arial"/>
          <w:color w:val="0070C0"/>
          <w:sz w:val="24"/>
          <w:szCs w:val="24"/>
        </w:rPr>
        <w:t xml:space="preserve"> at least 8 weeks after the</w:t>
      </w:r>
      <w:r w:rsidR="00E20128" w:rsidRPr="000D2C89">
        <w:rPr>
          <w:rFonts w:cs="Arial"/>
          <w:color w:val="0070C0"/>
          <w:sz w:val="24"/>
          <w:szCs w:val="24"/>
        </w:rPr>
        <w:t>ir second dose of vaccine</w:t>
      </w:r>
      <w:r w:rsidRPr="000D2C89">
        <w:rPr>
          <w:sz w:val="24"/>
          <w:szCs w:val="24"/>
        </w:rPr>
        <w:br/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 xml:space="preserve">Note: Consumers who received brief immunosuppression (≤40mg prednisolone per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 xml:space="preserve">day) for an acute episode (for example, asthma / chronic obstructive pulmonary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 xml:space="preserve">disease / COVID-19) and individuals on replacement corticosteroids for adrenal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lastRenderedPageBreak/>
        <w:t xml:space="preserve">insufficiency are not considered severely immunosuppressed sufficient to have </w:t>
      </w:r>
      <w:r w:rsidRPr="000D2C89">
        <w:rPr>
          <w:sz w:val="24"/>
          <w:szCs w:val="24"/>
        </w:rPr>
        <w:br/>
      </w:r>
      <w:r w:rsidRPr="000D2C89">
        <w:rPr>
          <w:rStyle w:val="markedcontent"/>
          <w:rFonts w:cs="Arial"/>
          <w:sz w:val="24"/>
          <w:szCs w:val="24"/>
        </w:rPr>
        <w:t>prevented response to the primary vaccination.</w:t>
      </w:r>
    </w:p>
    <w:p w14:paraId="2466B4F3" w14:textId="03975A26" w:rsidR="009A71EB" w:rsidRDefault="009A71EB" w:rsidP="004C132C">
      <w:pPr>
        <w:rPr>
          <w:rStyle w:val="markedcontent"/>
          <w:rFonts w:cs="Arial"/>
          <w:color w:val="0070C0"/>
          <w:sz w:val="24"/>
          <w:szCs w:val="24"/>
        </w:rPr>
      </w:pPr>
      <w:r w:rsidRPr="000D2C89">
        <w:rPr>
          <w:rStyle w:val="markedcontent"/>
          <w:rFonts w:cs="Arial"/>
          <w:color w:val="0070C0"/>
          <w:sz w:val="24"/>
          <w:szCs w:val="24"/>
        </w:rPr>
        <w:t>NZSG notes there may be a few patients who receive a very short course of prednisone, in which case they are not considered to be severely immunosuppressed.</w:t>
      </w:r>
    </w:p>
    <w:p w14:paraId="750ED5E3" w14:textId="77777777" w:rsidR="00C44A5F" w:rsidRDefault="00C44A5F" w:rsidP="004C132C">
      <w:pPr>
        <w:rPr>
          <w:rStyle w:val="markedcontent"/>
          <w:rFonts w:cs="Arial"/>
          <w:color w:val="0070C0"/>
          <w:sz w:val="24"/>
          <w:szCs w:val="24"/>
        </w:rPr>
      </w:pPr>
    </w:p>
    <w:p w14:paraId="55305149" w14:textId="77777777" w:rsidR="00C44A5F" w:rsidRDefault="00C44A5F" w:rsidP="004C132C">
      <w:pPr>
        <w:rPr>
          <w:rStyle w:val="markedcontent"/>
          <w:rFonts w:cs="Arial"/>
          <w:color w:val="0070C0"/>
          <w:sz w:val="24"/>
          <w:szCs w:val="24"/>
        </w:rPr>
      </w:pPr>
    </w:p>
    <w:p w14:paraId="39AB460C" w14:textId="77777777" w:rsidR="00C44A5F" w:rsidRPr="000D2C89" w:rsidRDefault="00C44A5F" w:rsidP="004C132C">
      <w:pPr>
        <w:rPr>
          <w:rStyle w:val="markedcontent"/>
          <w:rFonts w:cs="Arial"/>
          <w:color w:val="0070C0"/>
          <w:sz w:val="24"/>
          <w:szCs w:val="24"/>
        </w:rPr>
      </w:pPr>
    </w:p>
    <w:p w14:paraId="606A1E2C" w14:textId="630C7C86" w:rsidR="00140BC2" w:rsidRPr="000D2C89" w:rsidRDefault="009B4823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Please direct any korero / feedback regarding this draft guideline to:</w:t>
      </w:r>
    </w:p>
    <w:p w14:paraId="5B9EFF75" w14:textId="7DBB2230" w:rsidR="0038416E" w:rsidRPr="000D2C89" w:rsidRDefault="0038416E" w:rsidP="004C132C">
      <w:pPr>
        <w:rPr>
          <w:rStyle w:val="markedcontent"/>
          <w:rFonts w:cs="Arial"/>
          <w:sz w:val="24"/>
          <w:szCs w:val="24"/>
        </w:rPr>
      </w:pPr>
      <w:r w:rsidRPr="000D2C89">
        <w:rPr>
          <w:rStyle w:val="markedcontent"/>
          <w:rFonts w:cs="Arial"/>
          <w:sz w:val="24"/>
          <w:szCs w:val="24"/>
        </w:rPr>
        <w:t>office@nzsg.org.nz</w:t>
      </w:r>
    </w:p>
    <w:p w14:paraId="459793C3" w14:textId="77777777" w:rsidR="009B4823" w:rsidRPr="000D2C89" w:rsidRDefault="009B4823" w:rsidP="004C132C">
      <w:pPr>
        <w:rPr>
          <w:rStyle w:val="markedcontent"/>
          <w:rFonts w:cs="Arial"/>
          <w:sz w:val="21"/>
          <w:szCs w:val="21"/>
        </w:rPr>
      </w:pPr>
    </w:p>
    <w:sectPr w:rsidR="009B4823" w:rsidRPr="000D2C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9CF4" w14:textId="77777777" w:rsidR="00A64D32" w:rsidRDefault="00A64D32" w:rsidP="00A64D32">
      <w:pPr>
        <w:spacing w:after="0" w:line="240" w:lineRule="auto"/>
      </w:pPr>
      <w:r>
        <w:separator/>
      </w:r>
    </w:p>
  </w:endnote>
  <w:endnote w:type="continuationSeparator" w:id="0">
    <w:p w14:paraId="2BB02AEB" w14:textId="77777777" w:rsidR="00A64D32" w:rsidRDefault="00A64D32" w:rsidP="00A6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711A" w14:textId="77777777" w:rsidR="00A64D32" w:rsidRDefault="00A64D32">
    <w:pPr>
      <w:pStyle w:val="Footer"/>
    </w:pPr>
    <w:r>
      <w:t>Raos, Z et al</w:t>
    </w:r>
    <w:r>
      <w:ptab w:relativeTo="margin" w:alignment="center" w:leader="none"/>
    </w:r>
    <w:r>
      <w:t>Draft: NZSG response to 3</w:t>
    </w:r>
    <w:r w:rsidRPr="00A64D32">
      <w:rPr>
        <w:vertAlign w:val="superscript"/>
      </w:rPr>
      <w:t>rd</w:t>
    </w:r>
    <w:r>
      <w:t xml:space="preserve"> Primary Dose of COVID-19 Vaccine</w:t>
    </w:r>
    <w:r>
      <w:ptab w:relativeTo="margin" w:alignment="right" w:leader="none"/>
    </w:r>
  </w:p>
  <w:p w14:paraId="4236A8FB" w14:textId="2A25B80E" w:rsidR="00A64D32" w:rsidRDefault="00A64D32">
    <w:pPr>
      <w:pStyle w:val="Footer"/>
    </w:pPr>
    <w:r>
      <w:t>Review Date: 5/12/21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DB1A" w14:textId="77777777" w:rsidR="00A64D32" w:rsidRDefault="00A64D32" w:rsidP="00A64D32">
      <w:pPr>
        <w:spacing w:after="0" w:line="240" w:lineRule="auto"/>
      </w:pPr>
      <w:r>
        <w:separator/>
      </w:r>
    </w:p>
  </w:footnote>
  <w:footnote w:type="continuationSeparator" w:id="0">
    <w:p w14:paraId="79CB97D4" w14:textId="77777777" w:rsidR="00A64D32" w:rsidRDefault="00A64D32" w:rsidP="00A6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04EE"/>
    <w:multiLevelType w:val="hybridMultilevel"/>
    <w:tmpl w:val="8AE29B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E3B7F"/>
    <w:multiLevelType w:val="hybridMultilevel"/>
    <w:tmpl w:val="4A4EDF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32BD8D-ABBE-4DCB-8149-F1CFBAC60004}"/>
    <w:docVar w:name="dgnword-eventsink" w:val="361669528"/>
  </w:docVars>
  <w:rsids>
    <w:rsidRoot w:val="004C132C"/>
    <w:rsid w:val="00014FE3"/>
    <w:rsid w:val="00026F77"/>
    <w:rsid w:val="00041489"/>
    <w:rsid w:val="000D2C89"/>
    <w:rsid w:val="000D55C2"/>
    <w:rsid w:val="00140BC2"/>
    <w:rsid w:val="00163241"/>
    <w:rsid w:val="002D79A2"/>
    <w:rsid w:val="0031610F"/>
    <w:rsid w:val="00341168"/>
    <w:rsid w:val="0038416E"/>
    <w:rsid w:val="003C0853"/>
    <w:rsid w:val="003F0CA0"/>
    <w:rsid w:val="004A24E5"/>
    <w:rsid w:val="004A7B71"/>
    <w:rsid w:val="004C132C"/>
    <w:rsid w:val="004D5CC2"/>
    <w:rsid w:val="0057611A"/>
    <w:rsid w:val="00596D51"/>
    <w:rsid w:val="005A6727"/>
    <w:rsid w:val="005C5E04"/>
    <w:rsid w:val="00640084"/>
    <w:rsid w:val="006437AB"/>
    <w:rsid w:val="007C7643"/>
    <w:rsid w:val="00855FA5"/>
    <w:rsid w:val="00923D2D"/>
    <w:rsid w:val="009A71EB"/>
    <w:rsid w:val="009B4823"/>
    <w:rsid w:val="009C57B1"/>
    <w:rsid w:val="00A07DF5"/>
    <w:rsid w:val="00A64D32"/>
    <w:rsid w:val="00AE4320"/>
    <w:rsid w:val="00B369DE"/>
    <w:rsid w:val="00BE05A5"/>
    <w:rsid w:val="00C04670"/>
    <w:rsid w:val="00C44A5F"/>
    <w:rsid w:val="00DC3356"/>
    <w:rsid w:val="00E20128"/>
    <w:rsid w:val="00F2317E"/>
    <w:rsid w:val="00F8243E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7E1D"/>
  <w15:docId w15:val="{491C143A-5376-4549-A529-C97CAA36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DE"/>
  </w:style>
  <w:style w:type="paragraph" w:styleId="Heading1">
    <w:name w:val="heading 1"/>
    <w:basedOn w:val="Normal"/>
    <w:next w:val="Normal"/>
    <w:link w:val="Heading1Char"/>
    <w:uiPriority w:val="9"/>
    <w:qFormat/>
    <w:rsid w:val="004A2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4C132C"/>
  </w:style>
  <w:style w:type="paragraph" w:styleId="ListParagraph">
    <w:name w:val="List Paragraph"/>
    <w:basedOn w:val="Normal"/>
    <w:uiPriority w:val="34"/>
    <w:qFormat/>
    <w:rsid w:val="004C13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2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2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6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A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1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1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1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D2C8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A6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32"/>
  </w:style>
  <w:style w:type="paragraph" w:styleId="Footer">
    <w:name w:val="footer"/>
    <w:basedOn w:val="Normal"/>
    <w:link w:val="FooterChar"/>
    <w:uiPriority w:val="99"/>
    <w:unhideWhenUsed/>
    <w:rsid w:val="00A6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12810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Anna Pears</cp:lastModifiedBy>
  <cp:revision>2</cp:revision>
  <dcterms:created xsi:type="dcterms:W3CDTF">2021-10-28T04:03:00Z</dcterms:created>
  <dcterms:modified xsi:type="dcterms:W3CDTF">2021-10-28T04:03:00Z</dcterms:modified>
</cp:coreProperties>
</file>