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9D1" w:rsidRPr="00741CF4" w:rsidRDefault="00BF59D1" w:rsidP="00BF59D1">
      <w:pPr>
        <w:spacing w:before="60" w:after="60" w:line="240" w:lineRule="auto"/>
        <w:rPr>
          <w:rFonts w:ascii="Times New Roman" w:hAnsi="Times New Roman" w:cs="Times New Roman"/>
          <w:b/>
          <w:noProof/>
          <w:sz w:val="40"/>
          <w:szCs w:val="40"/>
        </w:rPr>
      </w:pPr>
      <w:r w:rsidRPr="00741CF4">
        <w:rPr>
          <w:rFonts w:ascii="Times New Roman" w:hAnsi="Times New Roman" w:cs="Times New Roman"/>
          <w:noProof/>
          <w:sz w:val="24"/>
          <w:szCs w:val="24"/>
          <w:lang w:eastAsia="en-NZ"/>
        </w:rPr>
        <w:drawing>
          <wp:anchor distT="0" distB="0" distL="114300" distR="114300" simplePos="0" relativeHeight="251659264" behindDoc="0" locked="0" layoutInCell="1" allowOverlap="1" wp14:anchorId="2CFC974A" wp14:editId="7144AD7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23900" cy="7715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1CF4">
        <w:rPr>
          <w:rFonts w:ascii="Times New Roman" w:hAnsi="Times New Roman" w:cs="Times New Roman"/>
          <w:noProof/>
          <w:sz w:val="40"/>
          <w:szCs w:val="40"/>
        </w:rPr>
        <w:t>Linwood College</w:t>
      </w:r>
      <w:r w:rsidRPr="00741CF4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at </w:t>
      </w:r>
      <w:r>
        <w:rPr>
          <w:rFonts w:ascii="Times New Roman" w:hAnsi="Times New Roman" w:cs="Times New Roman"/>
          <w:sz w:val="40"/>
          <w:szCs w:val="40"/>
          <w:lang w:val="mi-NZ"/>
        </w:rPr>
        <w:t xml:space="preserve">Ōtākaro: </w:t>
      </w:r>
      <w:r>
        <w:rPr>
          <w:rFonts w:ascii="Times New Roman" w:hAnsi="Times New Roman" w:cs="Times New Roman"/>
          <w:sz w:val="40"/>
          <w:szCs w:val="40"/>
          <w:lang w:val="en-AU"/>
        </w:rPr>
        <w:t>Strategic Plan 2019 – 2021</w:t>
      </w:r>
    </w:p>
    <w:p w:rsidR="00BF59D1" w:rsidRPr="00741CF4" w:rsidRDefault="00BF59D1" w:rsidP="00BF59D1">
      <w:pPr>
        <w:spacing w:before="60" w:after="60" w:line="240" w:lineRule="auto"/>
        <w:rPr>
          <w:rFonts w:ascii="Times New Roman" w:eastAsia="Times New Roman" w:hAnsi="Times New Roman" w:cs="Times New Roman"/>
          <w:szCs w:val="20"/>
          <w:lang w:val="en-AU"/>
        </w:rPr>
      </w:pPr>
    </w:p>
    <w:tbl>
      <w:tblPr>
        <w:tblW w:w="10782" w:type="dxa"/>
        <w:tblLook w:val="0000" w:firstRow="0" w:lastRow="0" w:firstColumn="0" w:lastColumn="0" w:noHBand="0" w:noVBand="0"/>
      </w:tblPr>
      <w:tblGrid>
        <w:gridCol w:w="10456"/>
        <w:gridCol w:w="326"/>
      </w:tblGrid>
      <w:tr w:rsidR="00BF59D1" w:rsidRPr="00741CF4" w:rsidTr="000F4362">
        <w:trPr>
          <w:cantSplit/>
        </w:trPr>
        <w:tc>
          <w:tcPr>
            <w:tcW w:w="10456" w:type="dxa"/>
          </w:tcPr>
          <w:p w:rsidR="00BF59D1" w:rsidRPr="00C800E2" w:rsidRDefault="00BF59D1" w:rsidP="000F4362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</w:pPr>
            <w:r w:rsidRPr="00C80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Purpose</w:t>
            </w:r>
          </w:p>
          <w:p w:rsidR="00BF59D1" w:rsidRPr="009B62A6" w:rsidRDefault="00BF59D1" w:rsidP="000F436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9B62A6">
              <w:rPr>
                <w:rFonts w:ascii="Times New Roman" w:hAnsi="Times New Roman" w:cs="Times New Roman"/>
              </w:rPr>
              <w:t>Provide inspiring learning pathways for all students to achieve personal success, wellbeing and resilience, to become lifelong learners who contribute to their communities.</w:t>
            </w:r>
          </w:p>
        </w:tc>
        <w:tc>
          <w:tcPr>
            <w:tcW w:w="326" w:type="dxa"/>
            <w:vMerge w:val="restart"/>
          </w:tcPr>
          <w:p w:rsidR="00BF59D1" w:rsidRPr="00741CF4" w:rsidRDefault="00BF59D1" w:rsidP="000F4362">
            <w:pPr>
              <w:pStyle w:val="NoSpacing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BF59D1" w:rsidRPr="009B62A6" w:rsidTr="000F4362">
        <w:trPr>
          <w:cantSplit/>
          <w:trHeight w:val="1620"/>
        </w:trPr>
        <w:tc>
          <w:tcPr>
            <w:tcW w:w="10456" w:type="dxa"/>
          </w:tcPr>
          <w:p w:rsidR="00BF59D1" w:rsidRPr="00010BAC" w:rsidRDefault="00BF59D1" w:rsidP="000F4362">
            <w:pPr>
              <w:pStyle w:val="NoSpacing"/>
              <w:rPr>
                <w:sz w:val="16"/>
                <w:szCs w:val="16"/>
                <w:lang w:val="en-AU"/>
              </w:rPr>
            </w:pPr>
          </w:p>
          <w:p w:rsidR="00BF59D1" w:rsidRPr="00C800E2" w:rsidRDefault="00BF59D1" w:rsidP="000F4362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Vision  </w:t>
            </w:r>
          </w:p>
          <w:p w:rsidR="00BF59D1" w:rsidRDefault="00BF59D1" w:rsidP="000F436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Mauri O</w:t>
            </w:r>
            <w:r w:rsidRPr="00334899">
              <w:rPr>
                <w:rFonts w:ascii="Times New Roman" w:hAnsi="Times New Roman" w:cs="Times New Roman"/>
              </w:rPr>
              <w:t xml:space="preserve">ra through </w:t>
            </w:r>
            <w:proofErr w:type="spellStart"/>
            <w:r w:rsidRPr="00334899">
              <w:rPr>
                <w:rFonts w:ascii="Times New Roman" w:hAnsi="Times New Roman" w:cs="Times New Roman"/>
              </w:rPr>
              <w:t>ako</w:t>
            </w:r>
            <w:proofErr w:type="spellEnd"/>
            <w:r w:rsidRPr="00334899">
              <w:rPr>
                <w:rFonts w:ascii="Times New Roman" w:hAnsi="Times New Roman" w:cs="Times New Roman"/>
              </w:rPr>
              <w:t xml:space="preserve">:  </w:t>
            </w:r>
          </w:p>
          <w:p w:rsidR="00BF59D1" w:rsidRPr="00334899" w:rsidRDefault="00BF59D1" w:rsidP="000F4362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progressive, inclusive</w:t>
            </w:r>
            <w:r w:rsidRPr="00334899">
              <w:rPr>
                <w:rFonts w:ascii="Times New Roman" w:hAnsi="Times New Roman" w:cs="Times New Roman"/>
              </w:rPr>
              <w:t>, safe, and engaging education for flourishing wellbeing and personal excellence</w:t>
            </w:r>
          </w:p>
          <w:p w:rsidR="00BF59D1" w:rsidRPr="00010BAC" w:rsidRDefault="00BF59D1" w:rsidP="000F4362">
            <w:pPr>
              <w:pStyle w:val="NoSpacing"/>
              <w:rPr>
                <w:sz w:val="16"/>
                <w:szCs w:val="16"/>
                <w:lang w:val="en-AU"/>
              </w:rPr>
            </w:pPr>
          </w:p>
          <w:p w:rsidR="00BF59D1" w:rsidRPr="00C800E2" w:rsidRDefault="00BF59D1" w:rsidP="000F436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</w:pPr>
            <w:r w:rsidRPr="00C80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Values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 xml:space="preserve"> </w:t>
            </w:r>
          </w:p>
          <w:p w:rsidR="00BF59D1" w:rsidRPr="009B62A6" w:rsidRDefault="00BF59D1" w:rsidP="000F436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0"/>
                <w:lang w:val="en-AU"/>
              </w:rPr>
            </w:pPr>
            <w:r w:rsidRPr="009B62A6">
              <w:rPr>
                <w:rFonts w:ascii="Times New Roman" w:eastAsia="Times New Roman" w:hAnsi="Times New Roman" w:cs="Times New Roman"/>
                <w:szCs w:val="20"/>
                <w:lang w:val="en-AU"/>
              </w:rPr>
              <w:t>Our actions are</w:t>
            </w:r>
            <w:bookmarkStart w:id="0" w:name="_GoBack"/>
            <w:bookmarkEnd w:id="0"/>
            <w:r w:rsidRPr="009B62A6">
              <w:rPr>
                <w:rFonts w:ascii="Times New Roman" w:eastAsia="Times New Roman" w:hAnsi="Times New Roman" w:cs="Times New Roman"/>
                <w:szCs w:val="20"/>
                <w:lang w:val="en-AU"/>
              </w:rPr>
              <w:t xml:space="preserve"> guided by:  </w:t>
            </w:r>
            <w:proofErr w:type="spellStart"/>
            <w:r w:rsidRPr="009B62A6">
              <w:rPr>
                <w:rFonts w:ascii="Times New Roman" w:eastAsia="Times New Roman" w:hAnsi="Times New Roman" w:cs="Times New Roman"/>
                <w:i/>
                <w:szCs w:val="20"/>
                <w:lang w:val="en-AU"/>
              </w:rPr>
              <w:t>SEaRCH</w:t>
            </w:r>
            <w:proofErr w:type="spellEnd"/>
            <w:r w:rsidRPr="009B62A6">
              <w:rPr>
                <w:rFonts w:ascii="Times New Roman" w:eastAsia="Times New Roman" w:hAnsi="Times New Roman" w:cs="Times New Roman"/>
                <w:szCs w:val="20"/>
                <w:lang w:val="en-A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Cs w:val="20"/>
                <w:lang w:val="en-AU"/>
              </w:rPr>
              <w:t xml:space="preserve">                 </w:t>
            </w:r>
            <w:r w:rsidRPr="009B62A6">
              <w:rPr>
                <w:rFonts w:ascii="Times New Roman" w:eastAsia="Times New Roman" w:hAnsi="Times New Roman" w:cs="Times New Roman"/>
                <w:szCs w:val="20"/>
                <w:lang w:val="en-AU"/>
              </w:rPr>
              <w:t xml:space="preserve">Service –      </w:t>
            </w:r>
            <w:r w:rsidRPr="009B62A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2A6">
              <w:rPr>
                <w:rFonts w:ascii="Times New Roman" w:hAnsi="Times New Roman" w:cs="Times New Roman"/>
              </w:rPr>
              <w:t>Manaakitanga</w:t>
            </w:r>
            <w:proofErr w:type="spellEnd"/>
            <w:r w:rsidRPr="009B62A6">
              <w:rPr>
                <w:rFonts w:ascii="Times New Roman" w:eastAsia="Times New Roman" w:hAnsi="Times New Roman" w:cs="Times New Roman"/>
                <w:szCs w:val="20"/>
                <w:lang w:val="en-AU"/>
              </w:rPr>
              <w:t xml:space="preserve"> </w:t>
            </w:r>
          </w:p>
          <w:p w:rsidR="00BF59D1" w:rsidRPr="009B62A6" w:rsidRDefault="00BF59D1" w:rsidP="000F436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0"/>
                <w:lang w:val="en-AU"/>
              </w:rPr>
            </w:pPr>
            <w:r w:rsidRPr="00D31EAB">
              <w:rPr>
                <w:rFonts w:ascii="Times New Roman" w:eastAsia="Times New Roman" w:hAnsi="Times New Roman" w:cs="Times New Roman"/>
                <w:noProof/>
                <w:szCs w:val="20"/>
                <w:lang w:eastAsia="en-NZ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2BEFE20" wp14:editId="2427FA7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54610</wp:posOffset>
                      </wp:positionV>
                      <wp:extent cx="2059305" cy="676275"/>
                      <wp:effectExtent l="0" t="0" r="1714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930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59D1" w:rsidRPr="009B62A6" w:rsidRDefault="00BF59D1" w:rsidP="00BF59D1">
                                  <w:pPr>
                                    <w:spacing w:before="60" w:after="60"/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</w:pPr>
                                  <w:r w:rsidRPr="009B62A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“To search, to seek, to look for” is the translation of the school’s motto, </w:t>
                                  </w:r>
                                  <w:proofErr w:type="spellStart"/>
                                  <w:r w:rsidRPr="009B62A6">
                                    <w:rPr>
                                      <w:rFonts w:ascii="Times New Roman" w:hAnsi="Times New Roman" w:cs="Times New Roman"/>
                                      <w:i/>
                                    </w:rPr>
                                    <w:t>Kimihia</w:t>
                                  </w:r>
                                  <w:proofErr w:type="spellEnd"/>
                                </w:p>
                                <w:p w:rsidR="00BF59D1" w:rsidRDefault="00BF59D1" w:rsidP="00BF59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EFE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45pt;margin-top:4.3pt;width:162.15pt;height:5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">
                      <v:textbox>
                        <w:txbxContent>
                          <w:p w:rsidR="00BF59D1" w:rsidRPr="009B62A6" w:rsidRDefault="00BF59D1" w:rsidP="00BF59D1">
                            <w:pPr>
                              <w:spacing w:before="60" w:after="60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9B62A6">
                              <w:rPr>
                                <w:rFonts w:ascii="Times New Roman" w:hAnsi="Times New Roman" w:cs="Times New Roman"/>
                              </w:rPr>
                              <w:t xml:space="preserve">“To search, to seek, to look for” is the translation of the school’s motto, </w:t>
                            </w:r>
                            <w:proofErr w:type="spellStart"/>
                            <w:r w:rsidRPr="009B62A6">
                              <w:rPr>
                                <w:rFonts w:ascii="Times New Roman" w:hAnsi="Times New Roman" w:cs="Times New Roman"/>
                                <w:i/>
                              </w:rPr>
                              <w:t>Kimihia</w:t>
                            </w:r>
                            <w:proofErr w:type="spellEnd"/>
                          </w:p>
                          <w:p w:rsidR="00BF59D1" w:rsidRDefault="00BF59D1" w:rsidP="00BF59D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B62A6">
              <w:rPr>
                <w:rFonts w:ascii="Times New Roman" w:eastAsia="Times New Roman" w:hAnsi="Times New Roman" w:cs="Times New Roman"/>
                <w:szCs w:val="20"/>
                <w:lang w:val="en-A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Cs w:val="20"/>
                <w:lang w:val="en-AU"/>
              </w:rPr>
              <w:t xml:space="preserve">                 </w:t>
            </w:r>
            <w:r w:rsidRPr="009B62A6">
              <w:rPr>
                <w:rFonts w:ascii="Times New Roman" w:eastAsia="Times New Roman" w:hAnsi="Times New Roman" w:cs="Times New Roman"/>
                <w:szCs w:val="20"/>
                <w:lang w:val="en-AU"/>
              </w:rPr>
              <w:t xml:space="preserve">Excellence –  </w:t>
            </w:r>
            <w:r>
              <w:rPr>
                <w:rFonts w:ascii="Times New Roman" w:eastAsia="Times New Roman" w:hAnsi="Times New Roman" w:cs="Times New Roman"/>
                <w:szCs w:val="20"/>
                <w:lang w:val="en-AU"/>
              </w:rPr>
              <w:t xml:space="preserve"> </w:t>
            </w:r>
            <w:proofErr w:type="spellStart"/>
            <w:r w:rsidRPr="009B62A6">
              <w:rPr>
                <w:rFonts w:ascii="Times New Roman" w:eastAsia="Times New Roman" w:hAnsi="Times New Roman" w:cs="Times New Roman"/>
                <w:szCs w:val="20"/>
                <w:lang w:val="en-AU"/>
              </w:rPr>
              <w:t>Hiranga</w:t>
            </w:r>
            <w:proofErr w:type="spellEnd"/>
          </w:p>
          <w:p w:rsidR="00BF59D1" w:rsidRPr="009B62A6" w:rsidRDefault="00BF59D1" w:rsidP="000F436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0"/>
                <w:lang w:val="en-AU"/>
              </w:rPr>
            </w:pPr>
            <w:r w:rsidRPr="009B62A6">
              <w:rPr>
                <w:rFonts w:ascii="Times New Roman" w:eastAsia="Times New Roman" w:hAnsi="Times New Roman" w:cs="Times New Roman"/>
                <w:szCs w:val="20"/>
                <w:lang w:val="en-A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val="en-AU"/>
              </w:rPr>
              <w:t xml:space="preserve">                       </w:t>
            </w:r>
            <w:r w:rsidRPr="009B62A6">
              <w:rPr>
                <w:rFonts w:ascii="Times New Roman" w:hAnsi="Times New Roman" w:cs="Times New Roman"/>
              </w:rPr>
              <w:t xml:space="preserve">Respect –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62A6">
              <w:rPr>
                <w:rFonts w:ascii="Times New Roman" w:hAnsi="Times New Roman" w:cs="Times New Roman"/>
              </w:rPr>
              <w:t>Whakaute</w:t>
            </w:r>
            <w:proofErr w:type="spellEnd"/>
            <w:r w:rsidRPr="009B62A6">
              <w:rPr>
                <w:rFonts w:ascii="Times New Roman" w:eastAsia="Times New Roman" w:hAnsi="Times New Roman" w:cs="Times New Roman"/>
                <w:szCs w:val="20"/>
                <w:lang w:val="en-AU"/>
              </w:rPr>
              <w:t xml:space="preserve"> </w:t>
            </w:r>
          </w:p>
          <w:p w:rsidR="00BF59D1" w:rsidRPr="009B62A6" w:rsidRDefault="00BF59D1" w:rsidP="000F4362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 w:rsidRPr="009B62A6">
              <w:rPr>
                <w:rFonts w:ascii="Times New Roman" w:eastAsia="Times New Roman" w:hAnsi="Times New Roman" w:cs="Times New Roman"/>
                <w:szCs w:val="20"/>
                <w:lang w:val="en-A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Cs w:val="20"/>
                <w:lang w:val="en-AU"/>
              </w:rPr>
              <w:t xml:space="preserve">                      </w:t>
            </w:r>
            <w:r w:rsidRPr="009B62A6">
              <w:rPr>
                <w:rFonts w:ascii="Times New Roman" w:eastAsia="Times New Roman" w:hAnsi="Times New Roman" w:cs="Times New Roman"/>
                <w:szCs w:val="20"/>
                <w:lang w:val="en-AU"/>
              </w:rPr>
              <w:t>C</w:t>
            </w:r>
            <w:proofErr w:type="spellStart"/>
            <w:r w:rsidRPr="009B62A6">
              <w:rPr>
                <w:rFonts w:ascii="Times New Roman" w:hAnsi="Times New Roman" w:cs="Times New Roman"/>
              </w:rPr>
              <w:t>uriosity</w:t>
            </w:r>
            <w:proofErr w:type="spellEnd"/>
            <w:r w:rsidRPr="009B62A6">
              <w:rPr>
                <w:rFonts w:ascii="Times New Roman" w:hAnsi="Times New Roman" w:cs="Times New Roman"/>
              </w:rPr>
              <w:t xml:space="preserve"> –</w:t>
            </w:r>
            <w:r w:rsidRPr="009B62A6">
              <w:rPr>
                <w:rFonts w:ascii="Times New Roman" w:hAnsi="Times New Roman" w:cs="Times New Roman"/>
                <w:i/>
              </w:rPr>
              <w:t xml:space="preserve">     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B62A6">
              <w:rPr>
                <w:rFonts w:ascii="Times New Roman" w:hAnsi="Times New Roman" w:cs="Times New Roman"/>
              </w:rPr>
              <w:t>Manawareka</w:t>
            </w:r>
            <w:proofErr w:type="spellEnd"/>
          </w:p>
          <w:p w:rsidR="00BF59D1" w:rsidRDefault="00BF59D1" w:rsidP="000F4362">
            <w:pPr>
              <w:spacing w:before="60" w:after="6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62A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62A6">
              <w:rPr>
                <w:rFonts w:ascii="Times New Roman" w:hAnsi="Times New Roman" w:cs="Times New Roman"/>
              </w:rPr>
              <w:t>Honesty –</w:t>
            </w:r>
            <w:r w:rsidRPr="009B62A6">
              <w:rPr>
                <w:rFonts w:ascii="Times New Roman" w:hAnsi="Times New Roman" w:cs="Times New Roman"/>
                <w:i/>
              </w:rPr>
              <w:t xml:space="preserve">       </w:t>
            </w:r>
            <w:proofErr w:type="spellStart"/>
            <w:r w:rsidRPr="009B62A6">
              <w:rPr>
                <w:rFonts w:ascii="Times New Roman" w:hAnsi="Times New Roman" w:cs="Times New Roman"/>
              </w:rPr>
              <w:t>Whakapono</w:t>
            </w:r>
            <w:proofErr w:type="spellEnd"/>
            <w:r w:rsidRPr="009B62A6">
              <w:rPr>
                <w:rFonts w:ascii="Times New Roman" w:hAnsi="Times New Roman" w:cs="Times New Roman"/>
              </w:rPr>
              <w:t xml:space="preserve"> </w:t>
            </w:r>
          </w:p>
          <w:p w:rsidR="00BF59D1" w:rsidRPr="00010BAC" w:rsidRDefault="00BF59D1" w:rsidP="000F4362">
            <w:pPr>
              <w:spacing w:before="60" w:after="6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" w:type="dxa"/>
            <w:vMerge/>
          </w:tcPr>
          <w:p w:rsidR="00BF59D1" w:rsidRPr="009B62A6" w:rsidRDefault="00BF59D1" w:rsidP="000F436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val="en-AU"/>
              </w:rPr>
            </w:pPr>
          </w:p>
        </w:tc>
      </w:tr>
    </w:tbl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2694"/>
        <w:gridCol w:w="8363"/>
      </w:tblGrid>
      <w:tr w:rsidR="00BF59D1" w:rsidRPr="009B62A6" w:rsidTr="000F4362">
        <w:trPr>
          <w:cantSplit/>
          <w:trHeight w:val="428"/>
          <w:tblHeader/>
        </w:trPr>
        <w:tc>
          <w:tcPr>
            <w:tcW w:w="2694" w:type="dxa"/>
          </w:tcPr>
          <w:p w:rsidR="00BF59D1" w:rsidRPr="00C800E2" w:rsidRDefault="00BF59D1" w:rsidP="000F4362">
            <w:pPr>
              <w:pStyle w:val="NoSpacing"/>
              <w:rPr>
                <w:b/>
                <w:sz w:val="24"/>
                <w:szCs w:val="24"/>
                <w:lang w:val="en-AU"/>
              </w:rPr>
            </w:pPr>
            <w:r w:rsidRPr="00C800E2">
              <w:rPr>
                <w:b/>
                <w:sz w:val="24"/>
                <w:szCs w:val="24"/>
                <w:lang w:val="en-AU"/>
              </w:rPr>
              <w:t xml:space="preserve">Strategic Goals </w:t>
            </w:r>
            <w:r>
              <w:rPr>
                <w:b/>
                <w:sz w:val="24"/>
                <w:szCs w:val="24"/>
                <w:lang w:val="en-AU"/>
              </w:rPr>
              <w:t>2019-</w:t>
            </w:r>
            <w:r w:rsidRPr="00C800E2">
              <w:rPr>
                <w:b/>
                <w:sz w:val="24"/>
                <w:szCs w:val="24"/>
                <w:lang w:val="en-AU"/>
              </w:rPr>
              <w:t>21</w:t>
            </w:r>
          </w:p>
        </w:tc>
        <w:tc>
          <w:tcPr>
            <w:tcW w:w="8363" w:type="dxa"/>
          </w:tcPr>
          <w:p w:rsidR="00BF59D1" w:rsidRPr="00C800E2" w:rsidRDefault="00BF59D1" w:rsidP="000F4362">
            <w:pPr>
              <w:rPr>
                <w:b/>
                <w:sz w:val="24"/>
                <w:szCs w:val="24"/>
                <w:lang w:val="en-AU"/>
              </w:rPr>
            </w:pPr>
            <w:r w:rsidRPr="00C800E2">
              <w:rPr>
                <w:b/>
                <w:sz w:val="24"/>
                <w:szCs w:val="24"/>
                <w:lang w:val="en-AU"/>
              </w:rPr>
              <w:t>What we will see …</w:t>
            </w:r>
          </w:p>
        </w:tc>
      </w:tr>
      <w:tr w:rsidR="00BF59D1" w:rsidRPr="009B62A6" w:rsidTr="000F4362">
        <w:tc>
          <w:tcPr>
            <w:tcW w:w="2694" w:type="dxa"/>
          </w:tcPr>
          <w:p w:rsidR="00BF59D1" w:rsidRPr="00467399" w:rsidRDefault="00BF59D1" w:rsidP="000F436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en-AU"/>
              </w:rPr>
            </w:pPr>
            <w:r w:rsidRPr="00467399">
              <w:rPr>
                <w:sz w:val="22"/>
                <w:szCs w:val="22"/>
                <w:lang w:val="en-AU"/>
              </w:rPr>
              <w:t>The teaching and learning pedagogy at Linwood College is culturally responsive and relational</w:t>
            </w:r>
            <w:r>
              <w:rPr>
                <w:sz w:val="22"/>
                <w:szCs w:val="22"/>
                <w:lang w:val="en-AU"/>
              </w:rPr>
              <w:t>.</w:t>
            </w:r>
          </w:p>
        </w:tc>
        <w:tc>
          <w:tcPr>
            <w:tcW w:w="8363" w:type="dxa"/>
          </w:tcPr>
          <w:p w:rsidR="00BF59D1" w:rsidRPr="00BF59D1" w:rsidRDefault="00BF59D1" w:rsidP="000F43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AU"/>
              </w:rPr>
            </w:pPr>
            <w:r w:rsidRPr="00BF59D1">
              <w:rPr>
                <w:sz w:val="22"/>
                <w:szCs w:val="22"/>
                <w:lang w:val="en-AU"/>
              </w:rPr>
              <w:t xml:space="preserve">All students engage in their own personal pathway at LC from </w:t>
            </w:r>
            <w:proofErr w:type="spellStart"/>
            <w:r w:rsidRPr="00BF59D1">
              <w:rPr>
                <w:sz w:val="22"/>
                <w:szCs w:val="22"/>
                <w:lang w:val="en-AU"/>
              </w:rPr>
              <w:t>Yr</w:t>
            </w:r>
            <w:proofErr w:type="spellEnd"/>
            <w:r w:rsidRPr="00BF59D1">
              <w:rPr>
                <w:sz w:val="22"/>
                <w:szCs w:val="22"/>
                <w:lang w:val="en-AU"/>
              </w:rPr>
              <w:t xml:space="preserve"> 7 through to </w:t>
            </w:r>
            <w:proofErr w:type="spellStart"/>
            <w:r w:rsidRPr="00BF59D1">
              <w:rPr>
                <w:sz w:val="22"/>
                <w:szCs w:val="22"/>
                <w:lang w:val="en-AU"/>
              </w:rPr>
              <w:t>Yr</w:t>
            </w:r>
            <w:proofErr w:type="spellEnd"/>
            <w:r w:rsidRPr="00BF59D1">
              <w:rPr>
                <w:sz w:val="22"/>
                <w:szCs w:val="22"/>
                <w:lang w:val="en-AU"/>
              </w:rPr>
              <w:t xml:space="preserve"> 13;</w:t>
            </w:r>
          </w:p>
          <w:p w:rsidR="00BF59D1" w:rsidRPr="00BF59D1" w:rsidRDefault="00BF59D1" w:rsidP="000F43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AU"/>
              </w:rPr>
            </w:pPr>
            <w:r w:rsidRPr="00BF59D1">
              <w:rPr>
                <w:sz w:val="22"/>
                <w:szCs w:val="22"/>
                <w:lang w:val="en-AU"/>
              </w:rPr>
              <w:t>Students see how their personal pathway connects beyond LC into their future;</w:t>
            </w:r>
          </w:p>
          <w:p w:rsidR="00BF59D1" w:rsidRPr="00BF59D1" w:rsidRDefault="00BF59D1" w:rsidP="000F43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AU"/>
              </w:rPr>
            </w:pPr>
            <w:r w:rsidRPr="00BF59D1">
              <w:rPr>
                <w:sz w:val="22"/>
                <w:szCs w:val="22"/>
              </w:rPr>
              <w:t xml:space="preserve">A meaningful curriculum and inspiring teaching where student progress goals are set, measured, </w:t>
            </w:r>
            <w:proofErr w:type="spellStart"/>
            <w:r w:rsidRPr="00BF59D1">
              <w:rPr>
                <w:sz w:val="22"/>
                <w:szCs w:val="22"/>
              </w:rPr>
              <w:t>analysed</w:t>
            </w:r>
            <w:proofErr w:type="spellEnd"/>
            <w:r w:rsidRPr="00BF59D1">
              <w:rPr>
                <w:sz w:val="22"/>
                <w:szCs w:val="22"/>
              </w:rPr>
              <w:t xml:space="preserve"> and shared. This will promote learner and whānau ownership as they will know where they are at and their next steps;</w:t>
            </w:r>
          </w:p>
          <w:p w:rsidR="00BF59D1" w:rsidRPr="00BF59D1" w:rsidRDefault="00BF59D1" w:rsidP="000F43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AU"/>
              </w:rPr>
            </w:pPr>
            <w:r w:rsidRPr="00BF59D1">
              <w:rPr>
                <w:sz w:val="22"/>
                <w:szCs w:val="22"/>
              </w:rPr>
              <w:t>Students will have a love of learning that will position them for personal success;</w:t>
            </w:r>
          </w:p>
          <w:p w:rsidR="00BF59D1" w:rsidRPr="00BF59D1" w:rsidRDefault="00BF59D1" w:rsidP="000F43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AU"/>
              </w:rPr>
            </w:pPr>
            <w:r w:rsidRPr="00BF59D1">
              <w:rPr>
                <w:sz w:val="22"/>
                <w:szCs w:val="22"/>
                <w:lang w:val="en-AU"/>
              </w:rPr>
              <w:t>Students and teachers aim for personal excellence past the minimum requirements on their personal pathway;</w:t>
            </w:r>
          </w:p>
          <w:p w:rsidR="00BF59D1" w:rsidRPr="00BF59D1" w:rsidRDefault="00BF59D1" w:rsidP="000F43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AU"/>
              </w:rPr>
            </w:pPr>
            <w:r w:rsidRPr="00BF59D1">
              <w:rPr>
                <w:sz w:val="22"/>
                <w:szCs w:val="22"/>
                <w:lang w:val="en-AU"/>
              </w:rPr>
              <w:t xml:space="preserve"> Staff adaptive expertise driving deliberate professional acts</w:t>
            </w:r>
          </w:p>
          <w:p w:rsidR="00BF59D1" w:rsidRPr="00BF59D1" w:rsidRDefault="00BF59D1" w:rsidP="000F43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AU"/>
              </w:rPr>
            </w:pPr>
            <w:r w:rsidRPr="00BF59D1">
              <w:rPr>
                <w:sz w:val="22"/>
                <w:szCs w:val="22"/>
                <w:lang w:val="en-AU"/>
              </w:rPr>
              <w:t>All students enthusiastically access the New Zealand Curriculum as evidenced by their achievement in relation to the NZC and NCEA;</w:t>
            </w:r>
          </w:p>
          <w:p w:rsidR="00BF59D1" w:rsidRPr="00BF59D1" w:rsidRDefault="00BF59D1" w:rsidP="000F43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AU"/>
              </w:rPr>
            </w:pPr>
            <w:r w:rsidRPr="00BF59D1">
              <w:rPr>
                <w:sz w:val="22"/>
                <w:szCs w:val="22"/>
                <w:lang w:val="en-AU"/>
              </w:rPr>
              <w:t>NCEA leaver statistics are at or above the national average.</w:t>
            </w:r>
          </w:p>
          <w:p w:rsidR="00BF59D1" w:rsidRPr="00BF59D1" w:rsidRDefault="00BF59D1" w:rsidP="000F4362">
            <w:pPr>
              <w:pStyle w:val="ListParagraph"/>
              <w:ind w:left="360"/>
              <w:rPr>
                <w:sz w:val="16"/>
                <w:szCs w:val="16"/>
                <w:lang w:val="en-AU"/>
              </w:rPr>
            </w:pPr>
          </w:p>
        </w:tc>
      </w:tr>
      <w:tr w:rsidR="00BF59D1" w:rsidRPr="009B62A6" w:rsidTr="000F4362">
        <w:tc>
          <w:tcPr>
            <w:tcW w:w="2694" w:type="dxa"/>
          </w:tcPr>
          <w:p w:rsidR="00BF59D1" w:rsidRPr="00467399" w:rsidRDefault="00BF59D1" w:rsidP="000F436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en-AU"/>
              </w:rPr>
            </w:pPr>
            <w:r w:rsidRPr="00467399">
              <w:rPr>
                <w:sz w:val="22"/>
                <w:szCs w:val="22"/>
                <w:lang w:val="en-AU"/>
              </w:rPr>
              <w:t xml:space="preserve">Mauri </w:t>
            </w:r>
            <w:proofErr w:type="spellStart"/>
            <w:r w:rsidRPr="00467399">
              <w:rPr>
                <w:sz w:val="22"/>
                <w:szCs w:val="22"/>
                <w:lang w:val="en-AU"/>
              </w:rPr>
              <w:t>ora</w:t>
            </w:r>
            <w:proofErr w:type="spellEnd"/>
            <w:r w:rsidRPr="00467399">
              <w:rPr>
                <w:sz w:val="22"/>
                <w:szCs w:val="22"/>
                <w:lang w:val="en-AU"/>
              </w:rPr>
              <w:t xml:space="preserve"> – valuing the spirit and wellbeing of </w:t>
            </w:r>
            <w:r>
              <w:rPr>
                <w:sz w:val="22"/>
                <w:szCs w:val="22"/>
                <w:lang w:val="en-AU"/>
              </w:rPr>
              <w:t>all –</w:t>
            </w:r>
            <w:r w:rsidRPr="00467399">
              <w:rPr>
                <w:sz w:val="22"/>
                <w:szCs w:val="22"/>
                <w:lang w:val="en-AU"/>
              </w:rPr>
              <w:t xml:space="preserve"> is foundational for all other learning</w:t>
            </w:r>
            <w:r>
              <w:rPr>
                <w:sz w:val="22"/>
                <w:szCs w:val="22"/>
                <w:lang w:val="en-AU"/>
              </w:rPr>
              <w:t>.</w:t>
            </w:r>
          </w:p>
        </w:tc>
        <w:tc>
          <w:tcPr>
            <w:tcW w:w="8363" w:type="dxa"/>
          </w:tcPr>
          <w:p w:rsidR="00BF59D1" w:rsidRPr="00BF59D1" w:rsidRDefault="00BF59D1" w:rsidP="000F43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AU"/>
              </w:rPr>
            </w:pPr>
            <w:r w:rsidRPr="00BF59D1">
              <w:rPr>
                <w:sz w:val="22"/>
                <w:szCs w:val="22"/>
                <w:lang w:val="en-AU"/>
              </w:rPr>
              <w:t xml:space="preserve">Students and staff feel welcome, safe and valued at LC; </w:t>
            </w:r>
          </w:p>
          <w:p w:rsidR="00BF59D1" w:rsidRPr="00BF59D1" w:rsidRDefault="00BF59D1" w:rsidP="000F43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AU"/>
              </w:rPr>
            </w:pPr>
            <w:r w:rsidRPr="00BF59D1">
              <w:rPr>
                <w:sz w:val="22"/>
                <w:szCs w:val="22"/>
                <w:lang w:val="en-AU"/>
              </w:rPr>
              <w:t>Whānau feel welcome and contribute as determining partners;</w:t>
            </w:r>
          </w:p>
          <w:p w:rsidR="00BF59D1" w:rsidRPr="00BF59D1" w:rsidRDefault="00BF59D1" w:rsidP="000F43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AU"/>
              </w:rPr>
            </w:pPr>
            <w:r w:rsidRPr="00BF59D1">
              <w:rPr>
                <w:sz w:val="22"/>
                <w:szCs w:val="22"/>
              </w:rPr>
              <w:t>Students are involved in and captivated by their learning through learner and whānau knowing where they are at and their next steps for learning;</w:t>
            </w:r>
          </w:p>
          <w:p w:rsidR="00BF59D1" w:rsidRPr="00BF59D1" w:rsidRDefault="00BF59D1" w:rsidP="000F43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AU"/>
              </w:rPr>
            </w:pPr>
            <w:r w:rsidRPr="00BF59D1">
              <w:rPr>
                <w:sz w:val="22"/>
                <w:szCs w:val="22"/>
                <w:lang w:val="en-AU"/>
              </w:rPr>
              <w:t>Trauma-informed pedagogy and skills;</w:t>
            </w:r>
          </w:p>
          <w:p w:rsidR="00BF59D1" w:rsidRPr="00BF59D1" w:rsidRDefault="00BF59D1" w:rsidP="000F43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AU"/>
              </w:rPr>
            </w:pPr>
            <w:r w:rsidRPr="00BF59D1">
              <w:rPr>
                <w:sz w:val="22"/>
                <w:szCs w:val="22"/>
                <w:lang w:val="en-AU"/>
              </w:rPr>
              <w:t>Early identification and support for all students at risk or under-performing against their personal excellence.</w:t>
            </w:r>
          </w:p>
          <w:p w:rsidR="00BF59D1" w:rsidRPr="00BF59D1" w:rsidRDefault="00BF59D1" w:rsidP="000F4362">
            <w:pPr>
              <w:pStyle w:val="ListParagraph"/>
              <w:ind w:left="360"/>
              <w:rPr>
                <w:sz w:val="16"/>
                <w:szCs w:val="16"/>
                <w:lang w:val="en-AU"/>
              </w:rPr>
            </w:pPr>
          </w:p>
        </w:tc>
      </w:tr>
      <w:tr w:rsidR="00BF59D1" w:rsidRPr="009B62A6" w:rsidTr="000F4362">
        <w:tc>
          <w:tcPr>
            <w:tcW w:w="2694" w:type="dxa"/>
          </w:tcPr>
          <w:p w:rsidR="00BF59D1" w:rsidRPr="00467399" w:rsidRDefault="00BF59D1" w:rsidP="000F436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Linwood College’s</w:t>
            </w:r>
            <w:r w:rsidRPr="00467399">
              <w:rPr>
                <w:sz w:val="22"/>
                <w:szCs w:val="22"/>
                <w:lang w:val="en-AU"/>
              </w:rPr>
              <w:t xml:space="preserve"> commitment to the local </w:t>
            </w:r>
            <w:proofErr w:type="spellStart"/>
            <w:r w:rsidRPr="00467399">
              <w:rPr>
                <w:sz w:val="22"/>
                <w:szCs w:val="22"/>
                <w:lang w:val="en-AU"/>
              </w:rPr>
              <w:t>Kāhui</w:t>
            </w:r>
            <w:proofErr w:type="spellEnd"/>
            <w:r w:rsidRPr="00467399">
              <w:rPr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467399">
              <w:rPr>
                <w:sz w:val="22"/>
                <w:szCs w:val="22"/>
                <w:lang w:val="en-AU"/>
              </w:rPr>
              <w:t>Ako</w:t>
            </w:r>
            <w:proofErr w:type="spellEnd"/>
            <w:r w:rsidRPr="00467399">
              <w:rPr>
                <w:sz w:val="22"/>
                <w:szCs w:val="22"/>
                <w:lang w:val="en-AU"/>
              </w:rPr>
              <w:t xml:space="preserve"> strengthens learning for the whole Linwood community</w:t>
            </w:r>
            <w:r>
              <w:rPr>
                <w:sz w:val="22"/>
                <w:szCs w:val="22"/>
                <w:lang w:val="en-AU"/>
              </w:rPr>
              <w:t>.</w:t>
            </w:r>
          </w:p>
        </w:tc>
        <w:tc>
          <w:tcPr>
            <w:tcW w:w="8363" w:type="dxa"/>
          </w:tcPr>
          <w:p w:rsidR="00BF59D1" w:rsidRPr="00467399" w:rsidRDefault="00BF59D1" w:rsidP="000F43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LC</w:t>
            </w:r>
            <w:r w:rsidRPr="00467399">
              <w:rPr>
                <w:sz w:val="22"/>
                <w:szCs w:val="22"/>
                <w:lang w:val="en-AU"/>
              </w:rPr>
              <w:t xml:space="preserve"> is the local school of choice and seen as a natural progression by its partner schools; </w:t>
            </w:r>
          </w:p>
          <w:p w:rsidR="00BF59D1" w:rsidRPr="00467399" w:rsidRDefault="00BF59D1" w:rsidP="000F43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AU"/>
              </w:rPr>
            </w:pPr>
            <w:r w:rsidRPr="00467399">
              <w:rPr>
                <w:sz w:val="22"/>
                <w:szCs w:val="22"/>
                <w:lang w:val="en-AU"/>
              </w:rPr>
              <w:t xml:space="preserve">There are strong relationships with </w:t>
            </w:r>
            <w:r>
              <w:rPr>
                <w:sz w:val="22"/>
                <w:szCs w:val="22"/>
                <w:lang w:val="en-AU"/>
              </w:rPr>
              <w:t>LC’s</w:t>
            </w:r>
            <w:r w:rsidRPr="00467399">
              <w:rPr>
                <w:sz w:val="22"/>
                <w:szCs w:val="22"/>
                <w:lang w:val="en-AU"/>
              </w:rPr>
              <w:t xml:space="preserve"> partner schools;</w:t>
            </w:r>
          </w:p>
          <w:p w:rsidR="00BF59D1" w:rsidRPr="00467399" w:rsidRDefault="00BF59D1" w:rsidP="000F43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AU"/>
              </w:rPr>
            </w:pPr>
            <w:r w:rsidRPr="00467399">
              <w:rPr>
                <w:sz w:val="22"/>
                <w:szCs w:val="22"/>
                <w:lang w:val="en-AU"/>
              </w:rPr>
              <w:t xml:space="preserve">There are strong connections between </w:t>
            </w:r>
            <w:r>
              <w:rPr>
                <w:sz w:val="22"/>
                <w:szCs w:val="22"/>
                <w:lang w:val="en-AU"/>
              </w:rPr>
              <w:t>LC</w:t>
            </w:r>
            <w:r w:rsidRPr="00467399">
              <w:rPr>
                <w:sz w:val="22"/>
                <w:szCs w:val="22"/>
                <w:lang w:val="en-AU"/>
              </w:rPr>
              <w:t xml:space="preserve"> and the local community;</w:t>
            </w:r>
          </w:p>
          <w:p w:rsidR="00BF59D1" w:rsidRDefault="00BF59D1" w:rsidP="000F43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AU"/>
              </w:rPr>
            </w:pPr>
            <w:r w:rsidRPr="00467399">
              <w:rPr>
                <w:sz w:val="22"/>
                <w:szCs w:val="22"/>
                <w:lang w:val="en-AU"/>
              </w:rPr>
              <w:t xml:space="preserve">Language, culture and identity are celebrated, valuing NZ’s bi-cultural heritage and </w:t>
            </w:r>
          </w:p>
          <w:p w:rsidR="00BF59D1" w:rsidRPr="00467399" w:rsidRDefault="00BF59D1" w:rsidP="000F4362">
            <w:pPr>
              <w:pStyle w:val="ListParagraph"/>
              <w:ind w:left="360"/>
              <w:rPr>
                <w:sz w:val="22"/>
                <w:szCs w:val="22"/>
                <w:lang w:val="en-AU"/>
              </w:rPr>
            </w:pPr>
            <w:r w:rsidRPr="00467399">
              <w:rPr>
                <w:sz w:val="22"/>
                <w:szCs w:val="22"/>
                <w:lang w:val="en-AU"/>
              </w:rPr>
              <w:t>multi-cultural diversity;</w:t>
            </w:r>
          </w:p>
          <w:p w:rsidR="00BF59D1" w:rsidRDefault="00BF59D1" w:rsidP="000F43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LC</w:t>
            </w:r>
            <w:r w:rsidRPr="00467399">
              <w:rPr>
                <w:sz w:val="22"/>
                <w:szCs w:val="22"/>
                <w:lang w:val="en-AU"/>
              </w:rPr>
              <w:t xml:space="preserve"> facilitates the community’s</w:t>
            </w:r>
            <w:r>
              <w:rPr>
                <w:sz w:val="22"/>
                <w:szCs w:val="22"/>
                <w:lang w:val="en-AU"/>
              </w:rPr>
              <w:t xml:space="preserve"> access to digital technologies.</w:t>
            </w:r>
          </w:p>
          <w:p w:rsidR="00BF59D1" w:rsidRPr="00010BAC" w:rsidRDefault="00BF59D1" w:rsidP="000F4362">
            <w:pPr>
              <w:pStyle w:val="ListParagraph"/>
              <w:ind w:left="360"/>
              <w:rPr>
                <w:sz w:val="16"/>
                <w:szCs w:val="16"/>
                <w:lang w:val="en-AU"/>
              </w:rPr>
            </w:pPr>
          </w:p>
        </w:tc>
      </w:tr>
      <w:tr w:rsidR="00BF59D1" w:rsidRPr="009B62A6" w:rsidTr="000F4362">
        <w:trPr>
          <w:trHeight w:val="1223"/>
        </w:trPr>
        <w:tc>
          <w:tcPr>
            <w:tcW w:w="2694" w:type="dxa"/>
          </w:tcPr>
          <w:p w:rsidR="00BF59D1" w:rsidRPr="00467399" w:rsidRDefault="00BF59D1" w:rsidP="000F436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Achievement and wellbeing are</w:t>
            </w:r>
            <w:r w:rsidRPr="00467399">
              <w:rPr>
                <w:sz w:val="22"/>
                <w:szCs w:val="22"/>
                <w:lang w:val="en-AU"/>
              </w:rPr>
              <w:t xml:space="preserve"> sustained </w:t>
            </w:r>
            <w:r>
              <w:rPr>
                <w:sz w:val="22"/>
                <w:szCs w:val="22"/>
                <w:lang w:val="en-AU"/>
              </w:rPr>
              <w:t>throughout Linwood College’s</w:t>
            </w:r>
            <w:r w:rsidRPr="00467399">
              <w:rPr>
                <w:sz w:val="22"/>
                <w:szCs w:val="22"/>
                <w:lang w:val="en-AU"/>
              </w:rPr>
              <w:t xml:space="preserve"> building redevelopments</w:t>
            </w:r>
            <w:r>
              <w:rPr>
                <w:sz w:val="22"/>
                <w:szCs w:val="22"/>
                <w:lang w:val="en-AU"/>
              </w:rPr>
              <w:t>.</w:t>
            </w:r>
          </w:p>
        </w:tc>
        <w:tc>
          <w:tcPr>
            <w:tcW w:w="8363" w:type="dxa"/>
          </w:tcPr>
          <w:p w:rsidR="00BF59D1" w:rsidRPr="00467399" w:rsidRDefault="00BF59D1" w:rsidP="000F43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AU"/>
              </w:rPr>
            </w:pPr>
            <w:r w:rsidRPr="00467399">
              <w:rPr>
                <w:sz w:val="22"/>
                <w:szCs w:val="22"/>
                <w:lang w:val="en-AU"/>
              </w:rPr>
              <w:t>Students continue to learn and achieve while occupying the temporary site;</w:t>
            </w:r>
          </w:p>
          <w:p w:rsidR="00BF59D1" w:rsidRPr="00467399" w:rsidRDefault="00BF59D1" w:rsidP="000F43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AU"/>
              </w:rPr>
            </w:pPr>
            <w:r w:rsidRPr="00467399">
              <w:rPr>
                <w:sz w:val="22"/>
                <w:szCs w:val="22"/>
                <w:lang w:val="en-AU"/>
              </w:rPr>
              <w:t>Students</w:t>
            </w:r>
            <w:r>
              <w:rPr>
                <w:sz w:val="22"/>
                <w:szCs w:val="22"/>
                <w:lang w:val="en-AU"/>
              </w:rPr>
              <w:t>, staff</w:t>
            </w:r>
            <w:r w:rsidRPr="00467399">
              <w:rPr>
                <w:sz w:val="22"/>
                <w:szCs w:val="22"/>
                <w:lang w:val="en-AU"/>
              </w:rPr>
              <w:t xml:space="preserve"> and families are supported with the transition to </w:t>
            </w:r>
            <w:r>
              <w:rPr>
                <w:sz w:val="22"/>
                <w:szCs w:val="22"/>
                <w:lang w:val="en-AU"/>
              </w:rPr>
              <w:t>LC’s</w:t>
            </w:r>
            <w:r w:rsidRPr="00467399">
              <w:rPr>
                <w:sz w:val="22"/>
                <w:szCs w:val="22"/>
                <w:lang w:val="en-AU"/>
              </w:rPr>
              <w:t xml:space="preserve"> temporary site;</w:t>
            </w:r>
          </w:p>
          <w:p w:rsidR="00BF59D1" w:rsidRDefault="00BF59D1" w:rsidP="000F43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AU"/>
              </w:rPr>
            </w:pPr>
            <w:r w:rsidRPr="00467399">
              <w:rPr>
                <w:sz w:val="22"/>
                <w:szCs w:val="22"/>
                <w:lang w:val="en-AU"/>
              </w:rPr>
              <w:t xml:space="preserve">The temporary site allows for a planned and intentional transition to new teaching practices; </w:t>
            </w:r>
          </w:p>
          <w:p w:rsidR="00BF59D1" w:rsidRPr="00C800E2" w:rsidRDefault="00BF59D1" w:rsidP="000F436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en-AU"/>
              </w:rPr>
            </w:pPr>
            <w:r w:rsidRPr="00467399">
              <w:rPr>
                <w:sz w:val="22"/>
                <w:szCs w:val="22"/>
                <w:lang w:val="en-AU"/>
              </w:rPr>
              <w:t xml:space="preserve">The community is kept well informed about </w:t>
            </w:r>
            <w:r>
              <w:rPr>
                <w:sz w:val="22"/>
                <w:szCs w:val="22"/>
                <w:lang w:val="en-AU"/>
              </w:rPr>
              <w:t>LC’s</w:t>
            </w:r>
            <w:r w:rsidRPr="00467399">
              <w:rPr>
                <w:sz w:val="22"/>
                <w:szCs w:val="22"/>
                <w:lang w:val="en-AU"/>
              </w:rPr>
              <w:t xml:space="preserve"> building redevelopments.</w:t>
            </w:r>
          </w:p>
        </w:tc>
      </w:tr>
    </w:tbl>
    <w:p w:rsidR="004B2868" w:rsidRDefault="004B2868" w:rsidP="00BF59D1"/>
    <w:sectPr w:rsidR="004B2868" w:rsidSect="00233262">
      <w:pgSz w:w="11907" w:h="16840" w:code="9"/>
      <w:pgMar w:top="720" w:right="720" w:bottom="720" w:left="720" w:header="720" w:footer="107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21496"/>
    <w:multiLevelType w:val="hybridMultilevel"/>
    <w:tmpl w:val="E8B4DF4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1C005B"/>
    <w:multiLevelType w:val="hybridMultilevel"/>
    <w:tmpl w:val="9720324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D1"/>
    <w:rsid w:val="004308BF"/>
    <w:rsid w:val="004B2868"/>
    <w:rsid w:val="00B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3DF5E"/>
  <w15:chartTrackingRefBased/>
  <w15:docId w15:val="{A69EC16B-88BB-4D46-82E6-CD8F39C1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9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59D1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59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59D1"/>
    <w:pPr>
      <w:spacing w:before="60" w:after="6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Linwood College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Edmundson</dc:creator>
  <cp:keywords/>
  <dc:description/>
  <cp:lastModifiedBy>Richard Edmundson</cp:lastModifiedBy>
  <cp:revision>1</cp:revision>
  <dcterms:created xsi:type="dcterms:W3CDTF">2020-03-11T17:20:00Z</dcterms:created>
  <dcterms:modified xsi:type="dcterms:W3CDTF">2020-03-11T17:21:00Z</dcterms:modified>
</cp:coreProperties>
</file>