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095B" w14:textId="0BFAED2A" w:rsidR="00DA084D" w:rsidRDefault="00DA084D" w:rsidP="0005654E">
      <w:pPr>
        <w:jc w:val="center"/>
      </w:pPr>
      <w:r>
        <w:rPr>
          <w:rFonts w:ascii="Calibri" w:hAnsi="Calibri"/>
          <w:noProof/>
        </w:rPr>
        <w:drawing>
          <wp:inline distT="0" distB="0" distL="0" distR="0" wp14:anchorId="4B062B75" wp14:editId="46BE035E">
            <wp:extent cx="3124200" cy="1038225"/>
            <wp:effectExtent l="0" t="0" r="0" b="9525"/>
            <wp:docPr id="4" name="Picture 4" descr="gastro-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stro-logo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DE27B" w14:textId="75268F09" w:rsidR="00DA084D" w:rsidRPr="00DA084D" w:rsidRDefault="00DA084D" w:rsidP="00DA084D">
      <w:pPr>
        <w:pStyle w:val="Title"/>
        <w:rPr>
          <w:sz w:val="44"/>
          <w:szCs w:val="44"/>
        </w:rPr>
      </w:pPr>
      <w:r w:rsidRPr="00DA084D">
        <w:rPr>
          <w:sz w:val="44"/>
          <w:szCs w:val="44"/>
        </w:rPr>
        <w:t>Terms of Reference</w:t>
      </w:r>
      <w:r w:rsidR="00B83D3F">
        <w:rPr>
          <w:sz w:val="44"/>
          <w:szCs w:val="44"/>
        </w:rPr>
        <w:t xml:space="preserve"> (</w:t>
      </w:r>
      <w:proofErr w:type="spellStart"/>
      <w:r w:rsidR="00B83D3F">
        <w:rPr>
          <w:sz w:val="44"/>
          <w:szCs w:val="44"/>
        </w:rPr>
        <w:t>ToR</w:t>
      </w:r>
      <w:proofErr w:type="spellEnd"/>
      <w:r w:rsidR="00B83D3F">
        <w:rPr>
          <w:sz w:val="44"/>
          <w:szCs w:val="44"/>
        </w:rPr>
        <w:t>)</w:t>
      </w:r>
      <w:r w:rsidRPr="00DA084D">
        <w:rPr>
          <w:sz w:val="44"/>
          <w:szCs w:val="44"/>
        </w:rPr>
        <w:t xml:space="preserve"> </w:t>
      </w:r>
      <w:r w:rsidR="0005654E" w:rsidRPr="0005654E">
        <w:rPr>
          <w:color w:val="FF0000"/>
          <w:sz w:val="44"/>
          <w:szCs w:val="44"/>
        </w:rPr>
        <w:t xml:space="preserve">(name of group) </w:t>
      </w:r>
    </w:p>
    <w:p w14:paraId="094E47D0" w14:textId="375248C0" w:rsidR="004D71FB" w:rsidRDefault="0005654E" w:rsidP="00DA084D">
      <w:pPr>
        <w:pStyle w:val="Heading1"/>
      </w:pPr>
      <w:r>
        <w:t>Role/</w:t>
      </w:r>
      <w:r w:rsidR="009F7712">
        <w:t>Purpose</w:t>
      </w:r>
    </w:p>
    <w:p w14:paraId="1A12468B" w14:textId="7623726C" w:rsidR="0005654E" w:rsidRDefault="0005654E" w:rsidP="0005654E">
      <w:r>
        <w:t>The role of (</w:t>
      </w:r>
      <w:r w:rsidRPr="04E33991">
        <w:rPr>
          <w:color w:val="FF0000"/>
        </w:rPr>
        <w:t xml:space="preserve">name of </w:t>
      </w:r>
      <w:r w:rsidR="3AFD87F7" w:rsidRPr="04E33991">
        <w:rPr>
          <w:color w:val="FF0000"/>
        </w:rPr>
        <w:t xml:space="preserve">Working </w:t>
      </w:r>
      <w:r w:rsidRPr="04E33991">
        <w:rPr>
          <w:color w:val="FF0000"/>
        </w:rPr>
        <w:t>Group</w:t>
      </w:r>
      <w:r>
        <w:t>) will provide strategic direction and leadership to ensure (</w:t>
      </w:r>
      <w:r w:rsidRPr="04E33991">
        <w:rPr>
          <w:color w:val="FF0000"/>
        </w:rPr>
        <w:t>statement about vision/key objective of network</w:t>
      </w:r>
      <w:r>
        <w:t>)</w:t>
      </w:r>
    </w:p>
    <w:p w14:paraId="30975773" w14:textId="43FF807D" w:rsidR="0005654E" w:rsidRDefault="0005654E" w:rsidP="0005654E">
      <w:r>
        <w:t>The (</w:t>
      </w:r>
      <w:r w:rsidRPr="04E33991">
        <w:rPr>
          <w:color w:val="FF0000"/>
        </w:rPr>
        <w:t xml:space="preserve">name of </w:t>
      </w:r>
      <w:r w:rsidR="6F1DD23C" w:rsidRPr="04E33991">
        <w:rPr>
          <w:color w:val="FF0000"/>
        </w:rPr>
        <w:t>the Working Group</w:t>
      </w:r>
      <w:r>
        <w:t>) sets out to achieve (</w:t>
      </w:r>
      <w:r w:rsidRPr="04E33991">
        <w:rPr>
          <w:color w:val="FF0000"/>
        </w:rPr>
        <w:t>what outcomes</w:t>
      </w:r>
      <w:r>
        <w:t>).</w:t>
      </w:r>
    </w:p>
    <w:p w14:paraId="0DF09F35" w14:textId="504F598E" w:rsidR="004D71FB" w:rsidRDefault="48D7B6A0" w:rsidP="0005654E">
      <w:r>
        <w:t xml:space="preserve">The New Zealand Society of Gastroenterology </w:t>
      </w:r>
      <w:r w:rsidRPr="04E33991">
        <w:rPr>
          <w:color w:val="FF0000"/>
        </w:rPr>
        <w:t xml:space="preserve">(name of </w:t>
      </w:r>
      <w:r w:rsidR="0E2E33E8" w:rsidRPr="04E33991">
        <w:rPr>
          <w:color w:val="FF0000"/>
        </w:rPr>
        <w:t xml:space="preserve">the working </w:t>
      </w:r>
      <w:r w:rsidRPr="04E33991">
        <w:rPr>
          <w:color w:val="FF0000"/>
        </w:rPr>
        <w:t xml:space="preserve">group) </w:t>
      </w:r>
      <w:r>
        <w:t xml:space="preserve">will advise the New Zealand Society of Gastroenterology of their actions. </w:t>
      </w:r>
    </w:p>
    <w:p w14:paraId="45F0C0EA" w14:textId="6B2F2170" w:rsidR="004D71FB" w:rsidRDefault="009F7712" w:rsidP="00DA084D">
      <w:pPr>
        <w:pStyle w:val="Heading1"/>
      </w:pPr>
      <w:r>
        <w:t>Term</w:t>
      </w:r>
    </w:p>
    <w:p w14:paraId="0065B504" w14:textId="09EE9B5F" w:rsidR="004D71FB" w:rsidRDefault="009F7712">
      <w:r>
        <w:t xml:space="preserve">This Term of Reference is effective from </w:t>
      </w:r>
      <w:r w:rsidR="0005654E" w:rsidRPr="29CA9D69">
        <w:rPr>
          <w:color w:val="FF0000"/>
        </w:rPr>
        <w:t xml:space="preserve">XXX </w:t>
      </w:r>
      <w:r>
        <w:t>and will be ongoing</w:t>
      </w:r>
      <w:r w:rsidR="40805361">
        <w:t xml:space="preserve"> with biennial reviews</w:t>
      </w:r>
      <w:r>
        <w:t xml:space="preserve"> until terminated by agreem</w:t>
      </w:r>
      <w:r w:rsidR="00DA084D">
        <w:t>ent between the members of the group and the NZSG Executive Committee.</w:t>
      </w:r>
    </w:p>
    <w:p w14:paraId="7968DE34" w14:textId="18CC9CE5" w:rsidR="004D71FB" w:rsidRDefault="009F7712" w:rsidP="00DA084D">
      <w:pPr>
        <w:pStyle w:val="Heading1"/>
      </w:pPr>
      <w:r>
        <w:t>Membership</w:t>
      </w:r>
    </w:p>
    <w:p w14:paraId="690DB6B0" w14:textId="0E300B1E" w:rsidR="004D71FB" w:rsidRDefault="29D4A97F" w:rsidP="29CA9D69">
      <w:pPr>
        <w:numPr>
          <w:ilvl w:val="0"/>
          <w:numId w:val="8"/>
        </w:numPr>
      </w:pPr>
      <w:r>
        <w:t>Will</w:t>
      </w:r>
      <w:r w:rsidR="01EA4271">
        <w:t xml:space="preserve"> comprise a core membership of up to 10 members who must be current members of the Society unless recruited as a community member.  This can include up to two trainees. </w:t>
      </w:r>
    </w:p>
    <w:p w14:paraId="4EF0B8AA" w14:textId="2F982F6D" w:rsidR="1AAA31BF" w:rsidRDefault="1AAA31BF" w:rsidP="29CA9D69">
      <w:pPr>
        <w:numPr>
          <w:ilvl w:val="0"/>
          <w:numId w:val="8"/>
        </w:numPr>
      </w:pPr>
      <w:r>
        <w:t xml:space="preserve">Members of the working group must be residents in New Zealand. An exception is made for current working group members for 3-month sabbatical(s).  </w:t>
      </w:r>
    </w:p>
    <w:p w14:paraId="4E266BEF" w14:textId="03DBFB0B" w:rsidR="004D71FB" w:rsidRDefault="1AAA31BF">
      <w:pPr>
        <w:numPr>
          <w:ilvl w:val="0"/>
          <w:numId w:val="8"/>
        </w:numPr>
      </w:pPr>
      <w:r>
        <w:t xml:space="preserve">Beginning Members will be selected through expressions of interest with final selection by NZSG Executive. Future members will be appointed by the Group in Consultation with the Executive. </w:t>
      </w:r>
    </w:p>
    <w:p w14:paraId="5655576C" w14:textId="4DC75AA1" w:rsidR="004D71FB" w:rsidRDefault="1AAA31BF">
      <w:pPr>
        <w:numPr>
          <w:ilvl w:val="0"/>
          <w:numId w:val="8"/>
        </w:numPr>
      </w:pPr>
      <w:r>
        <w:t xml:space="preserve">The term of membership will be for </w:t>
      </w:r>
      <w:r w:rsidRPr="29CA9D69">
        <w:rPr>
          <w:color w:val="FF0000"/>
        </w:rPr>
        <w:t xml:space="preserve">XX </w:t>
      </w:r>
      <w:r>
        <w:t>years.</w:t>
      </w:r>
    </w:p>
    <w:p w14:paraId="2307AA12" w14:textId="41995758" w:rsidR="004D71FB" w:rsidRDefault="01EA4271">
      <w:pPr>
        <w:numPr>
          <w:ilvl w:val="0"/>
          <w:numId w:val="8"/>
        </w:numPr>
      </w:pPr>
      <w:r>
        <w:t xml:space="preserve">Members may occupy a seat on the group for more than one term with a </w:t>
      </w:r>
      <w:r w:rsidRPr="29CA9D69">
        <w:t xml:space="preserve">discretionary </w:t>
      </w:r>
      <w:r>
        <w:t xml:space="preserve">term limit. </w:t>
      </w:r>
      <w:r w:rsidR="00B83D3F">
        <w:t>Biennially</w:t>
      </w:r>
      <w:r w:rsidR="5DD93F33">
        <w:t xml:space="preserve"> an</w:t>
      </w:r>
      <w:r>
        <w:t xml:space="preserve"> expression of interest must be done for new members. </w:t>
      </w:r>
    </w:p>
    <w:p w14:paraId="7814343A" w14:textId="54527470" w:rsidR="004D71FB" w:rsidRDefault="1AAA31BF">
      <w:pPr>
        <w:numPr>
          <w:ilvl w:val="0"/>
          <w:numId w:val="8"/>
        </w:numPr>
      </w:pPr>
      <w:r>
        <w:t>The term of Lead/Chair is two years</w:t>
      </w:r>
      <w:r w:rsidR="7260D599">
        <w:t>. A</w:t>
      </w:r>
      <w:r>
        <w:t xml:space="preserve"> member may only occupy the Lead for one consecutive term.</w:t>
      </w:r>
    </w:p>
    <w:p w14:paraId="3A775163" w14:textId="3A497146" w:rsidR="00923F5E" w:rsidRDefault="01EA4271">
      <w:pPr>
        <w:numPr>
          <w:ilvl w:val="0"/>
          <w:numId w:val="8"/>
        </w:numPr>
      </w:pPr>
      <w:r>
        <w:t>A member, not the Chair, will be designated as Secretary/Scribe for the group for the purpose of minute/action recording at hui.</w:t>
      </w:r>
    </w:p>
    <w:p w14:paraId="3123D9CB" w14:textId="454A9AA1" w:rsidR="004B6F6F" w:rsidRDefault="1AAA31BF">
      <w:pPr>
        <w:numPr>
          <w:ilvl w:val="0"/>
          <w:numId w:val="8"/>
        </w:numPr>
      </w:pPr>
      <w:r>
        <w:t xml:space="preserve">The group may seek advice </w:t>
      </w:r>
      <w:r w:rsidR="2A9F2467">
        <w:t>a</w:t>
      </w:r>
      <w:r>
        <w:t xml:space="preserve">nd assistance from the NZSG membership on specific projects and actions. </w:t>
      </w:r>
    </w:p>
    <w:p w14:paraId="4FF1181A" w14:textId="14B627EA" w:rsidR="01EA4271" w:rsidRDefault="01EA4271" w:rsidP="29CA9D69">
      <w:pPr>
        <w:numPr>
          <w:ilvl w:val="0"/>
          <w:numId w:val="8"/>
        </w:numPr>
      </w:pPr>
      <w:r>
        <w:t>May seek Community Member</w:t>
      </w:r>
      <w:r w:rsidR="2013A28B">
        <w:t>s</w:t>
      </w:r>
      <w:r>
        <w:t xml:space="preserve"> if agreed by the NZSG Executive. </w:t>
      </w:r>
    </w:p>
    <w:p w14:paraId="4E122100" w14:textId="69CA1C32" w:rsidR="004D71FB" w:rsidRDefault="009F7712" w:rsidP="00B83D3F">
      <w:pPr>
        <w:pStyle w:val="Heading1"/>
      </w:pPr>
      <w:r w:rsidRPr="00B83D3F">
        <w:t>Roles and Responsibilities</w:t>
      </w:r>
    </w:p>
    <w:p w14:paraId="42538CE1" w14:textId="1CFA031E" w:rsidR="004D71FB" w:rsidRDefault="009F7712" w:rsidP="04E33991">
      <w:r>
        <w:t xml:space="preserve">The New Zealand Society of Gastroenterology </w:t>
      </w:r>
      <w:r w:rsidR="004B6F6F" w:rsidRPr="75D044EE">
        <w:rPr>
          <w:color w:val="FF0000"/>
        </w:rPr>
        <w:t>XXX</w:t>
      </w:r>
      <w:r w:rsidRPr="75D044EE">
        <w:rPr>
          <w:color w:val="FF0000"/>
        </w:rPr>
        <w:t xml:space="preserve"> </w:t>
      </w:r>
      <w:r w:rsidR="62DD7334" w:rsidRPr="75D044EE">
        <w:t xml:space="preserve">Working </w:t>
      </w:r>
      <w:r>
        <w:t xml:space="preserve">Group will: </w:t>
      </w:r>
    </w:p>
    <w:p w14:paraId="70876A01" w14:textId="5099EAE9" w:rsidR="004D71FB" w:rsidRDefault="6C7948A1" w:rsidP="04E33991">
      <w:pPr>
        <w:pStyle w:val="ListParagraph"/>
        <w:numPr>
          <w:ilvl w:val="0"/>
          <w:numId w:val="1"/>
        </w:numPr>
      </w:pPr>
      <w:r w:rsidRPr="29CA9D69">
        <w:rPr>
          <w:rFonts w:ascii="Calibri" w:eastAsia="Calibri" w:hAnsi="Calibri" w:cs="Calibri"/>
          <w:szCs w:val="20"/>
        </w:rPr>
        <w:t xml:space="preserve">Provide the New Zealand Society of Gastroenterology with advice on topics and decision points, with a focus on </w:t>
      </w:r>
      <w:r w:rsidRPr="29CA9D69">
        <w:rPr>
          <w:rFonts w:ascii="Calibri" w:eastAsia="Calibri" w:hAnsi="Calibri" w:cs="Calibri"/>
          <w:color w:val="FF0000"/>
          <w:szCs w:val="20"/>
        </w:rPr>
        <w:t>XXX</w:t>
      </w:r>
      <w:r w:rsidRPr="29CA9D69">
        <w:rPr>
          <w:rFonts w:ascii="Calibri" w:eastAsia="Calibri" w:hAnsi="Calibri" w:cs="Calibri"/>
          <w:szCs w:val="20"/>
        </w:rPr>
        <w:t>, when requested.</w:t>
      </w:r>
    </w:p>
    <w:p w14:paraId="762B3D1C" w14:textId="275A0577" w:rsidR="69440998" w:rsidRDefault="69440998" w:rsidP="29CA9D69">
      <w:pPr>
        <w:pStyle w:val="ListParagraph"/>
        <w:numPr>
          <w:ilvl w:val="0"/>
          <w:numId w:val="1"/>
        </w:numPr>
      </w:pPr>
      <w:r>
        <w:t>Providing timely advice to the NZSG Executive</w:t>
      </w:r>
      <w:r w:rsidR="30E2B726">
        <w:t>.</w:t>
      </w:r>
    </w:p>
    <w:p w14:paraId="5A746AF1" w14:textId="0BCCBF5C" w:rsidR="69440998" w:rsidRDefault="69440998" w:rsidP="29CA9D69">
      <w:pPr>
        <w:pStyle w:val="ListParagraph"/>
        <w:numPr>
          <w:ilvl w:val="0"/>
          <w:numId w:val="1"/>
        </w:numPr>
      </w:pPr>
      <w:r>
        <w:t>Seek NZSG Executive approval prior to any planned communication with external stakeholders (e.g., Pharmac, Te Whatu Ora / HNZ, pharmaceutical industry) or release of any formal statements.  Provision of this approval may be delegated to the nominated NZSG Executive Committee member or President at the discretion of the Executive.</w:t>
      </w:r>
    </w:p>
    <w:p w14:paraId="7ADA1A61" w14:textId="250CF592" w:rsidR="69440998" w:rsidRDefault="69440998" w:rsidP="29CA9D69">
      <w:pPr>
        <w:pStyle w:val="ListParagraph"/>
        <w:numPr>
          <w:ilvl w:val="0"/>
          <w:numId w:val="1"/>
        </w:numPr>
      </w:pPr>
      <w:r>
        <w:t>Provide a short report for the annual report and present progress at the NZSG Annual Scientific Meeting (ASM)</w:t>
      </w:r>
      <w:r w:rsidR="35A43733">
        <w:t>.</w:t>
      </w:r>
    </w:p>
    <w:p w14:paraId="14EB7DAF" w14:textId="0CCD7FAF" w:rsidR="69440998" w:rsidRDefault="69440998" w:rsidP="75D044EE">
      <w:pPr>
        <w:pStyle w:val="ListParagraph"/>
        <w:numPr>
          <w:ilvl w:val="0"/>
          <w:numId w:val="1"/>
        </w:numPr>
      </w:pPr>
      <w:r>
        <w:t>Provide the NZSG Executive with progress reports i.e., copy of minutes and actions within one month of each hui.</w:t>
      </w:r>
    </w:p>
    <w:p w14:paraId="543F8B82" w14:textId="41331878" w:rsidR="75D044EE" w:rsidRDefault="69440998" w:rsidP="29CA9D69">
      <w:pPr>
        <w:pStyle w:val="ListParagraph"/>
        <w:numPr>
          <w:ilvl w:val="0"/>
          <w:numId w:val="1"/>
        </w:numPr>
      </w:pPr>
      <w:r>
        <w:lastRenderedPageBreak/>
        <w:t>A member, preferably the Lead/Chair attend Executive hui as requested.</w:t>
      </w:r>
    </w:p>
    <w:p w14:paraId="6B521246" w14:textId="293DC42F" w:rsidR="004D71FB" w:rsidRDefault="01EA4271">
      <w:r>
        <w:t xml:space="preserve">The members of The New Zealand Society of Gastroenterology </w:t>
      </w:r>
      <w:r w:rsidRPr="75D044EE">
        <w:rPr>
          <w:color w:val="FF0000"/>
        </w:rPr>
        <w:t xml:space="preserve">XXX </w:t>
      </w:r>
      <w:r w:rsidR="7A1D8777" w:rsidRPr="75D044EE">
        <w:t xml:space="preserve">Working </w:t>
      </w:r>
      <w:r>
        <w:t>Group will commit to:</w:t>
      </w:r>
    </w:p>
    <w:p w14:paraId="706C441E" w14:textId="524A525A" w:rsidR="01EA4271" w:rsidRDefault="01EA4271" w:rsidP="29CA9D69">
      <w:pPr>
        <w:numPr>
          <w:ilvl w:val="0"/>
          <w:numId w:val="7"/>
        </w:numPr>
      </w:pPr>
      <w:r>
        <w:t>Attending all scheduled group meetings.</w:t>
      </w:r>
      <w:r w:rsidR="1C7E2465">
        <w:t xml:space="preserve"> </w:t>
      </w:r>
      <w:r>
        <w:t>Nonattendance of two consecutive meetings will be reviewed by the Chair.</w:t>
      </w:r>
    </w:p>
    <w:p w14:paraId="5346FACB" w14:textId="4AAE706B" w:rsidR="0407B071" w:rsidRDefault="01EA4271" w:rsidP="29CA9D69">
      <w:pPr>
        <w:numPr>
          <w:ilvl w:val="0"/>
          <w:numId w:val="7"/>
        </w:numPr>
      </w:pPr>
      <w:r>
        <w:t>Seek NZSG Executive approval prior to any planned communication with external stakeholders (e.g., Pharmac, Te Whatu Ora / HNZ, pharmaceutical industry) or release of any formal statements.  Provision of this approval may be delegated to the nominated NZSG Executive Committee member or President at the discretion of the Executive.</w:t>
      </w:r>
    </w:p>
    <w:p w14:paraId="323415E0" w14:textId="6AFFA6F4" w:rsidR="0407B071" w:rsidRDefault="42BD2853" w:rsidP="04E33991">
      <w:r>
        <w:t xml:space="preserve">The New Zealand Society of Gastroenterology will: </w:t>
      </w:r>
    </w:p>
    <w:p w14:paraId="017BB44F" w14:textId="2F00CEB4" w:rsidR="0407B071" w:rsidRDefault="03316377" w:rsidP="04E33991">
      <w:pPr>
        <w:pStyle w:val="ListParagraph"/>
        <w:numPr>
          <w:ilvl w:val="0"/>
          <w:numId w:val="3"/>
        </w:numPr>
      </w:pPr>
      <w:r>
        <w:t xml:space="preserve">Provide Secretariat support for a maximum of </w:t>
      </w:r>
      <w:r w:rsidR="2DF0BE72">
        <w:t>four 4</w:t>
      </w:r>
      <w:r>
        <w:t xml:space="preserve"> hui per annum prioritised by the Executive aligned to the Strategic Plan. </w:t>
      </w:r>
    </w:p>
    <w:p w14:paraId="7073444F" w14:textId="52BAB512" w:rsidR="0407B071" w:rsidRDefault="42BD2853" w:rsidP="29CA9D69">
      <w:pPr>
        <w:pStyle w:val="ListParagraph"/>
        <w:numPr>
          <w:ilvl w:val="0"/>
          <w:numId w:val="3"/>
        </w:numPr>
      </w:pPr>
      <w:r>
        <w:t xml:space="preserve">Provide an Executive Member liaison for the Group </w:t>
      </w:r>
      <w:r w:rsidR="455C1472">
        <w:t>who will attend hui.</w:t>
      </w:r>
    </w:p>
    <w:p w14:paraId="47D88A97" w14:textId="323A1D8C" w:rsidR="0407B071" w:rsidRDefault="42BD2853" w:rsidP="04E33991">
      <w:pPr>
        <w:pStyle w:val="ListParagraph"/>
        <w:numPr>
          <w:ilvl w:val="0"/>
          <w:numId w:val="3"/>
        </w:numPr>
      </w:pPr>
      <w:r>
        <w:t xml:space="preserve">Provide a </w:t>
      </w:r>
      <w:proofErr w:type="gramStart"/>
      <w:r>
        <w:t>TEAMS</w:t>
      </w:r>
      <w:proofErr w:type="gramEnd"/>
      <w:r>
        <w:t xml:space="preserve"> page for collaboration of hui, minutes and documents which will be accessible to all members of the group.</w:t>
      </w:r>
    </w:p>
    <w:p w14:paraId="55578EC5" w14:textId="40243673" w:rsidR="0407B071" w:rsidRPr="00B83D3F" w:rsidRDefault="009F7712" w:rsidP="00B83D3F">
      <w:pPr>
        <w:pStyle w:val="Heading1"/>
      </w:pPr>
      <w:r w:rsidRPr="00B83D3F">
        <w:t>Meetings</w:t>
      </w:r>
    </w:p>
    <w:p w14:paraId="21824DBE" w14:textId="7F9502CF" w:rsidR="004D71FB" w:rsidRDefault="009F7712">
      <w:pPr>
        <w:numPr>
          <w:ilvl w:val="0"/>
          <w:numId w:val="5"/>
        </w:numPr>
      </w:pPr>
      <w:r>
        <w:t>All meetings will be</w:t>
      </w:r>
      <w:r w:rsidR="006E6DAE">
        <w:t xml:space="preserve"> chaired by the Lead of </w:t>
      </w:r>
      <w:r>
        <w:t xml:space="preserve">The New Zealand Society of Gastroenterology </w:t>
      </w:r>
      <w:r w:rsidR="006E6DAE" w:rsidRPr="75D044EE">
        <w:rPr>
          <w:color w:val="FF0000"/>
        </w:rPr>
        <w:t xml:space="preserve">XXX </w:t>
      </w:r>
      <w:r w:rsidR="7145A707">
        <w:t>Working G</w:t>
      </w:r>
      <w:r>
        <w:t>roup.</w:t>
      </w:r>
    </w:p>
    <w:p w14:paraId="1EED3BF1" w14:textId="26E28371" w:rsidR="004D71FB" w:rsidRDefault="01EA4271">
      <w:pPr>
        <w:numPr>
          <w:ilvl w:val="0"/>
          <w:numId w:val="5"/>
        </w:numPr>
      </w:pPr>
      <w:r>
        <w:t>A meeting quorum will be three members.</w:t>
      </w:r>
    </w:p>
    <w:p w14:paraId="09B44F86" w14:textId="769043B2" w:rsidR="00A01F55" w:rsidRDefault="009F7712" w:rsidP="00923F5E">
      <w:pPr>
        <w:numPr>
          <w:ilvl w:val="0"/>
          <w:numId w:val="5"/>
        </w:numPr>
      </w:pPr>
      <w:r>
        <w:t>Decisions will be made by consensus (</w:t>
      </w:r>
      <w:r w:rsidR="1D812113">
        <w:t>i.e.,</w:t>
      </w:r>
      <w:r>
        <w:t xml:space="preserve"> members are satisfied with the decision even though it may not be their first choice). If consensus is not possible, the </w:t>
      </w:r>
      <w:r w:rsidR="006E6DAE">
        <w:t>Lead</w:t>
      </w:r>
      <w:r>
        <w:t xml:space="preserve"> </w:t>
      </w:r>
      <w:r w:rsidR="668DD3FB">
        <w:t xml:space="preserve">will make </w:t>
      </w:r>
      <w:r>
        <w:t>a final decision on behalf of the group.</w:t>
      </w:r>
    </w:p>
    <w:p w14:paraId="2EAF8670" w14:textId="6B112903" w:rsidR="004D71FB" w:rsidRDefault="009F7712" w:rsidP="00923F5E">
      <w:pPr>
        <w:numPr>
          <w:ilvl w:val="0"/>
          <w:numId w:val="5"/>
        </w:numPr>
      </w:pPr>
      <w:r>
        <w:t xml:space="preserve">Secretarial support for </w:t>
      </w:r>
      <w:r w:rsidR="4CA0DB17">
        <w:t xml:space="preserve">a maximum of </w:t>
      </w:r>
      <w:r w:rsidR="01073127">
        <w:t xml:space="preserve">4 </w:t>
      </w:r>
      <w:r>
        <w:t>meeting</w:t>
      </w:r>
      <w:r w:rsidR="096D2B3E">
        <w:t xml:space="preserve"> per annum</w:t>
      </w:r>
      <w:r>
        <w:t xml:space="preserve"> [circulating agenda</w:t>
      </w:r>
      <w:r w:rsidR="006E6DAE">
        <w:t xml:space="preserve">, </w:t>
      </w:r>
      <w:proofErr w:type="gramStart"/>
      <w:r w:rsidR="006E6DAE">
        <w:t>finalising</w:t>
      </w:r>
      <w:proofErr w:type="gramEnd"/>
      <w:r w:rsidR="006E6DAE">
        <w:t xml:space="preserve"> and sending</w:t>
      </w:r>
      <w:r>
        <w:t xml:space="preserve"> correspondence</w:t>
      </w:r>
      <w:r w:rsidR="006E6DAE">
        <w:t xml:space="preserve"> written by the </w:t>
      </w:r>
      <w:r w:rsidR="00923F5E">
        <w:t>G</w:t>
      </w:r>
      <w:r w:rsidR="006E6DAE">
        <w:t>roup and organising hui</w:t>
      </w:r>
      <w:r w:rsidR="00923F5E">
        <w:t>]</w:t>
      </w:r>
      <w:r>
        <w:t xml:space="preserve"> will be provided by the New Zealand Society of Gastroenterology</w:t>
      </w:r>
      <w:r w:rsidR="006E6DAE">
        <w:t xml:space="preserve"> Executive Officer</w:t>
      </w:r>
      <w:r w:rsidR="61899FFA">
        <w:t xml:space="preserve"> (EO)</w:t>
      </w:r>
      <w:r w:rsidR="006E6DAE">
        <w:t xml:space="preserve">. </w:t>
      </w:r>
    </w:p>
    <w:p w14:paraId="7B326335" w14:textId="78E187CA" w:rsidR="004D71FB" w:rsidRDefault="03316377" w:rsidP="00923F5E">
      <w:pPr>
        <w:numPr>
          <w:ilvl w:val="0"/>
          <w:numId w:val="5"/>
        </w:numPr>
      </w:pPr>
      <w:r>
        <w:t xml:space="preserve"> In instances where additional hui </w:t>
      </w:r>
      <w:proofErr w:type="gramStart"/>
      <w:r>
        <w:t>are</w:t>
      </w:r>
      <w:proofErr w:type="gramEnd"/>
      <w:r>
        <w:t xml:space="preserve"> held, a template for the Groups Secretary</w:t>
      </w:r>
      <w:r w:rsidR="62779D51">
        <w:t>/Scribe</w:t>
      </w:r>
      <w:r>
        <w:t xml:space="preserve"> will be provided. The EO will format and circulate as noted above.</w:t>
      </w:r>
    </w:p>
    <w:p w14:paraId="59BBEFF1" w14:textId="611D4BFB" w:rsidR="004D71FB" w:rsidRDefault="009F7712" w:rsidP="00B83D3F">
      <w:pPr>
        <w:pStyle w:val="Heading1"/>
      </w:pPr>
      <w:r w:rsidRPr="00B83D3F">
        <w:t>Amendment of Terms of Reference</w:t>
      </w:r>
    </w:p>
    <w:p w14:paraId="44A85A7A" w14:textId="0C8AD40E" w:rsidR="004D71FB" w:rsidRDefault="01EA4271" w:rsidP="29CA9D69">
      <w:r>
        <w:t xml:space="preserve">This Terms of Reference may be amended, </w:t>
      </w:r>
      <w:proofErr w:type="gramStart"/>
      <w:r>
        <w:t>varied</w:t>
      </w:r>
      <w:proofErr w:type="gramEnd"/>
      <w:r>
        <w:t xml:space="preserve"> or modified in writing after consultation and agreement by the New Zealand Society of Gastroenterology </w:t>
      </w:r>
      <w:r w:rsidRPr="29CA9D69">
        <w:rPr>
          <w:color w:val="FF0000"/>
        </w:rPr>
        <w:t xml:space="preserve">XXX </w:t>
      </w:r>
      <w:r w:rsidR="1ECC22C9">
        <w:t>Working G</w:t>
      </w:r>
      <w:r>
        <w:t xml:space="preserve">roup members. All amendments most be reviewed and agreed by the NZSG Executive. </w:t>
      </w:r>
    </w:p>
    <w:p w14:paraId="1AA15F79" w14:textId="32B89466" w:rsidR="75D044EE" w:rsidRDefault="03316377" w:rsidP="75D044EE">
      <w:r>
        <w:t xml:space="preserve">The ToR template will be reviewed every two years by the Executive and any changes will be added to the current ToRs once approved. </w:t>
      </w:r>
    </w:p>
    <w:p w14:paraId="760AA400" w14:textId="3649C741" w:rsidR="00A01F55" w:rsidRPr="00B83D3F" w:rsidRDefault="01EA4271" w:rsidP="00B83D3F">
      <w:pPr>
        <w:pStyle w:val="Heading1"/>
      </w:pPr>
      <w:r w:rsidRPr="00B83D3F">
        <w:t xml:space="preserve">Adjourning / Poroporoaki </w:t>
      </w:r>
    </w:p>
    <w:p w14:paraId="0445400A" w14:textId="20892BED" w:rsidR="00A01F55" w:rsidRDefault="6406B91D" w:rsidP="29CA9D69">
      <w:pPr>
        <w:spacing w:line="240" w:lineRule="auto"/>
        <w:rPr>
          <w:lang w:val="en-US"/>
        </w:rPr>
      </w:pPr>
      <w:r w:rsidRPr="29CA9D69">
        <w:rPr>
          <w:lang w:val="en-US"/>
        </w:rPr>
        <w:t xml:space="preserve">Once the purpose and/or objectives that have been set out </w:t>
      </w:r>
      <w:proofErr w:type="gramStart"/>
      <w:r w:rsidRPr="29CA9D69">
        <w:rPr>
          <w:lang w:val="en-US"/>
        </w:rPr>
        <w:t>are met</w:t>
      </w:r>
      <w:proofErr w:type="gramEnd"/>
      <w:r w:rsidRPr="29CA9D69">
        <w:rPr>
          <w:lang w:val="en-US"/>
        </w:rPr>
        <w:t xml:space="preserve"> </w:t>
      </w:r>
      <w:r w:rsidR="2CBB651C" w:rsidRPr="29CA9D69">
        <w:rPr>
          <w:lang w:val="en-US"/>
        </w:rPr>
        <w:t xml:space="preserve">the group may </w:t>
      </w:r>
      <w:r w:rsidR="640E4D1E" w:rsidRPr="29CA9D69">
        <w:rPr>
          <w:lang w:val="en-US"/>
        </w:rPr>
        <w:t>be ‘</w:t>
      </w:r>
      <w:r w:rsidRPr="29CA9D69">
        <w:rPr>
          <w:lang w:val="en-US"/>
        </w:rPr>
        <w:t xml:space="preserve">adjourned’ </w:t>
      </w:r>
      <w:r w:rsidR="291234B3" w:rsidRPr="29CA9D69">
        <w:rPr>
          <w:lang w:val="en-US"/>
        </w:rPr>
        <w:t>and/or redirected</w:t>
      </w:r>
      <w:r w:rsidR="3956E080" w:rsidRPr="29CA9D69">
        <w:rPr>
          <w:lang w:val="en-US"/>
        </w:rPr>
        <w:t>. This</w:t>
      </w:r>
      <w:r w:rsidR="291234B3" w:rsidRPr="29CA9D69">
        <w:rPr>
          <w:lang w:val="en-US"/>
        </w:rPr>
        <w:t xml:space="preserve"> will </w:t>
      </w:r>
      <w:proofErr w:type="gramStart"/>
      <w:r w:rsidR="291234B3" w:rsidRPr="29CA9D69">
        <w:rPr>
          <w:lang w:val="en-US"/>
        </w:rPr>
        <w:t>be done</w:t>
      </w:r>
      <w:proofErr w:type="gramEnd"/>
      <w:r w:rsidR="291234B3" w:rsidRPr="29CA9D69">
        <w:rPr>
          <w:lang w:val="en-US"/>
        </w:rPr>
        <w:t xml:space="preserve"> through consultation with the Executive and Members of the </w:t>
      </w:r>
      <w:r w:rsidR="2532B92D" w:rsidRPr="29CA9D69">
        <w:rPr>
          <w:lang w:val="en-US"/>
        </w:rPr>
        <w:t xml:space="preserve">Working </w:t>
      </w:r>
      <w:r w:rsidR="291234B3" w:rsidRPr="29CA9D69">
        <w:rPr>
          <w:lang w:val="en-US"/>
        </w:rPr>
        <w:t xml:space="preserve">Group. </w:t>
      </w:r>
    </w:p>
    <w:p w14:paraId="45FD6440" w14:textId="5826D1D0" w:rsidR="00A01F55" w:rsidRPr="00B83D3F" w:rsidRDefault="01EA4271" w:rsidP="00B83D3F">
      <w:pPr>
        <w:pStyle w:val="Heading1"/>
      </w:pPr>
      <w:r w:rsidRPr="00B83D3F">
        <w:t xml:space="preserve">Version Control </w:t>
      </w:r>
    </w:p>
    <w:p w14:paraId="5DB597B9" w14:textId="48BA763E" w:rsidR="01EA4271" w:rsidRDefault="01EA4271" w:rsidP="01EA4271">
      <w:r>
        <w:t xml:space="preserve">Review will be done of the template o every two years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2323"/>
        <w:gridCol w:w="2693"/>
        <w:gridCol w:w="2552"/>
      </w:tblGrid>
      <w:tr w:rsidR="00A01F55" w:rsidRPr="00A01F55" w14:paraId="5C71C649" w14:textId="77777777" w:rsidTr="00A01F55">
        <w:tc>
          <w:tcPr>
            <w:tcW w:w="1925" w:type="dxa"/>
          </w:tcPr>
          <w:p w14:paraId="2102D97A" w14:textId="237793E2" w:rsidR="00A01F55" w:rsidRPr="00A01F55" w:rsidRDefault="00A01F55" w:rsidP="00A01F55">
            <w:pPr>
              <w:rPr>
                <w:b/>
                <w:bCs/>
              </w:rPr>
            </w:pPr>
            <w:r w:rsidRPr="00A01F55">
              <w:rPr>
                <w:b/>
                <w:bCs/>
              </w:rPr>
              <w:t xml:space="preserve">Version </w:t>
            </w:r>
          </w:p>
        </w:tc>
        <w:tc>
          <w:tcPr>
            <w:tcW w:w="2323" w:type="dxa"/>
          </w:tcPr>
          <w:p w14:paraId="055DEACD" w14:textId="43406572" w:rsidR="00A01F55" w:rsidRPr="00A01F55" w:rsidRDefault="00A01F55" w:rsidP="00A01F55">
            <w:pPr>
              <w:rPr>
                <w:b/>
                <w:bCs/>
              </w:rPr>
            </w:pPr>
            <w:r w:rsidRPr="00A01F55">
              <w:rPr>
                <w:b/>
                <w:bCs/>
              </w:rPr>
              <w:t xml:space="preserve">Date Approved by Group </w:t>
            </w:r>
          </w:p>
        </w:tc>
        <w:tc>
          <w:tcPr>
            <w:tcW w:w="2693" w:type="dxa"/>
          </w:tcPr>
          <w:p w14:paraId="7F0566E7" w14:textId="593C1DB6" w:rsidR="00A01F55" w:rsidRPr="00A01F55" w:rsidRDefault="00A01F55" w:rsidP="00A01F55">
            <w:pPr>
              <w:rPr>
                <w:b/>
                <w:bCs/>
              </w:rPr>
            </w:pPr>
            <w:r w:rsidRPr="00A01F55">
              <w:rPr>
                <w:b/>
                <w:bCs/>
              </w:rPr>
              <w:t xml:space="preserve">Date Approved by Executive </w:t>
            </w:r>
          </w:p>
        </w:tc>
        <w:tc>
          <w:tcPr>
            <w:tcW w:w="2552" w:type="dxa"/>
          </w:tcPr>
          <w:p w14:paraId="0D49A11C" w14:textId="2F31507B" w:rsidR="00A01F55" w:rsidRPr="00A01F55" w:rsidRDefault="00A01F55" w:rsidP="00A01F55">
            <w:pPr>
              <w:rPr>
                <w:b/>
                <w:bCs/>
              </w:rPr>
            </w:pPr>
            <w:r w:rsidRPr="00A01F55">
              <w:rPr>
                <w:b/>
                <w:bCs/>
              </w:rPr>
              <w:t xml:space="preserve">Review Date </w:t>
            </w:r>
          </w:p>
        </w:tc>
      </w:tr>
      <w:tr w:rsidR="00A01F55" w14:paraId="0D0937A5" w14:textId="77777777" w:rsidTr="00A01F55">
        <w:tc>
          <w:tcPr>
            <w:tcW w:w="1925" w:type="dxa"/>
          </w:tcPr>
          <w:p w14:paraId="13D0C267" w14:textId="77777777" w:rsidR="00A01F55" w:rsidRDefault="00A01F55" w:rsidP="00A01F55"/>
        </w:tc>
        <w:tc>
          <w:tcPr>
            <w:tcW w:w="2323" w:type="dxa"/>
          </w:tcPr>
          <w:p w14:paraId="4ABEA1C4" w14:textId="77777777" w:rsidR="00A01F55" w:rsidRDefault="00A01F55" w:rsidP="00A01F55"/>
        </w:tc>
        <w:tc>
          <w:tcPr>
            <w:tcW w:w="2693" w:type="dxa"/>
          </w:tcPr>
          <w:p w14:paraId="0E50A676" w14:textId="77777777" w:rsidR="00A01F55" w:rsidRDefault="00A01F55" w:rsidP="00A01F55"/>
        </w:tc>
        <w:tc>
          <w:tcPr>
            <w:tcW w:w="2552" w:type="dxa"/>
          </w:tcPr>
          <w:p w14:paraId="470EB091" w14:textId="77777777" w:rsidR="00A01F55" w:rsidRDefault="00A01F55" w:rsidP="00A01F55"/>
        </w:tc>
      </w:tr>
      <w:tr w:rsidR="00A01F55" w14:paraId="42C09D29" w14:textId="77777777" w:rsidTr="00A01F55">
        <w:tc>
          <w:tcPr>
            <w:tcW w:w="1925" w:type="dxa"/>
          </w:tcPr>
          <w:p w14:paraId="35A85DEE" w14:textId="77777777" w:rsidR="00A01F55" w:rsidRDefault="00A01F55" w:rsidP="00A01F55"/>
        </w:tc>
        <w:tc>
          <w:tcPr>
            <w:tcW w:w="2323" w:type="dxa"/>
          </w:tcPr>
          <w:p w14:paraId="172834A7" w14:textId="77777777" w:rsidR="00A01F55" w:rsidRDefault="00A01F55" w:rsidP="00A01F55"/>
        </w:tc>
        <w:tc>
          <w:tcPr>
            <w:tcW w:w="2693" w:type="dxa"/>
          </w:tcPr>
          <w:p w14:paraId="7C789F30" w14:textId="77777777" w:rsidR="00A01F55" w:rsidRDefault="00A01F55" w:rsidP="00A01F55"/>
        </w:tc>
        <w:tc>
          <w:tcPr>
            <w:tcW w:w="2552" w:type="dxa"/>
          </w:tcPr>
          <w:p w14:paraId="3A80014E" w14:textId="77777777" w:rsidR="00A01F55" w:rsidRDefault="00A01F55" w:rsidP="00A01F55"/>
        </w:tc>
      </w:tr>
    </w:tbl>
    <w:p w14:paraId="0A9A6503" w14:textId="77777777" w:rsidR="00B83D3F" w:rsidRDefault="00B83D3F" w:rsidP="00A01F55">
      <w:pPr>
        <w:rPr>
          <w:sz w:val="28"/>
          <w:szCs w:val="28"/>
        </w:rPr>
      </w:pPr>
    </w:p>
    <w:p w14:paraId="0A1358E5" w14:textId="288ED552" w:rsidR="00737DB6" w:rsidRPr="00737DB6" w:rsidRDefault="00737DB6" w:rsidP="00A01F55">
      <w:pPr>
        <w:rPr>
          <w:sz w:val="28"/>
          <w:szCs w:val="28"/>
        </w:rPr>
      </w:pPr>
      <w:r w:rsidRPr="00737DB6">
        <w:rPr>
          <w:sz w:val="28"/>
          <w:szCs w:val="28"/>
        </w:rPr>
        <w:t xml:space="preserve">You may find this </w:t>
      </w:r>
      <w:hyperlink r:id="rId11" w:history="1">
        <w:r w:rsidRPr="00737DB6">
          <w:rPr>
            <w:rStyle w:val="Hyperlink"/>
            <w:sz w:val="28"/>
            <w:szCs w:val="28"/>
          </w:rPr>
          <w:t>link</w:t>
        </w:r>
      </w:hyperlink>
      <w:r w:rsidRPr="00737DB6">
        <w:rPr>
          <w:sz w:val="28"/>
          <w:szCs w:val="28"/>
        </w:rPr>
        <w:t xml:space="preserve"> useful in writing a ToR. </w:t>
      </w:r>
    </w:p>
    <w:sectPr w:rsidR="00737DB6" w:rsidRPr="00737DB6" w:rsidSect="00B83D3F">
      <w:pgSz w:w="11906" w:h="16838"/>
      <w:pgMar w:top="28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694B" w14:textId="77777777" w:rsidR="00202813" w:rsidRDefault="00202813" w:rsidP="00B83D3F">
      <w:pPr>
        <w:spacing w:after="0" w:line="240" w:lineRule="auto"/>
      </w:pPr>
      <w:r>
        <w:separator/>
      </w:r>
    </w:p>
  </w:endnote>
  <w:endnote w:type="continuationSeparator" w:id="0">
    <w:p w14:paraId="234FA851" w14:textId="77777777" w:rsidR="00202813" w:rsidRDefault="00202813" w:rsidP="00B8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D8D9" w14:textId="77777777" w:rsidR="00202813" w:rsidRDefault="00202813" w:rsidP="00B83D3F">
      <w:pPr>
        <w:spacing w:after="0" w:line="240" w:lineRule="auto"/>
      </w:pPr>
      <w:r>
        <w:separator/>
      </w:r>
    </w:p>
  </w:footnote>
  <w:footnote w:type="continuationSeparator" w:id="0">
    <w:p w14:paraId="3B1F82B4" w14:textId="77777777" w:rsidR="00202813" w:rsidRDefault="00202813" w:rsidP="00B83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0EC3"/>
    <w:multiLevelType w:val="multilevel"/>
    <w:tmpl w:val="FB08EC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556630"/>
    <w:multiLevelType w:val="hybridMultilevel"/>
    <w:tmpl w:val="6EBA6D0A"/>
    <w:lvl w:ilvl="0" w:tplc="837809AA">
      <w:start w:val="1"/>
      <w:numFmt w:val="decimal"/>
      <w:lvlText w:val="%1."/>
      <w:lvlJc w:val="left"/>
      <w:pPr>
        <w:ind w:left="720" w:hanging="360"/>
      </w:pPr>
    </w:lvl>
    <w:lvl w:ilvl="1" w:tplc="32D6C594">
      <w:start w:val="1"/>
      <w:numFmt w:val="lowerLetter"/>
      <w:lvlText w:val="%2."/>
      <w:lvlJc w:val="left"/>
      <w:pPr>
        <w:ind w:left="1440" w:hanging="360"/>
      </w:pPr>
    </w:lvl>
    <w:lvl w:ilvl="2" w:tplc="575028B8">
      <w:start w:val="1"/>
      <w:numFmt w:val="lowerRoman"/>
      <w:lvlText w:val="%3."/>
      <w:lvlJc w:val="right"/>
      <w:pPr>
        <w:ind w:left="2160" w:hanging="180"/>
      </w:pPr>
    </w:lvl>
    <w:lvl w:ilvl="3" w:tplc="9894D49C">
      <w:start w:val="1"/>
      <w:numFmt w:val="decimal"/>
      <w:lvlText w:val="%4."/>
      <w:lvlJc w:val="left"/>
      <w:pPr>
        <w:ind w:left="2880" w:hanging="360"/>
      </w:pPr>
    </w:lvl>
    <w:lvl w:ilvl="4" w:tplc="EC1C8E12">
      <w:start w:val="1"/>
      <w:numFmt w:val="lowerLetter"/>
      <w:lvlText w:val="%5."/>
      <w:lvlJc w:val="left"/>
      <w:pPr>
        <w:ind w:left="3600" w:hanging="360"/>
      </w:pPr>
    </w:lvl>
    <w:lvl w:ilvl="5" w:tplc="CCEE7CEE">
      <w:start w:val="1"/>
      <w:numFmt w:val="lowerRoman"/>
      <w:lvlText w:val="%6."/>
      <w:lvlJc w:val="right"/>
      <w:pPr>
        <w:ind w:left="4320" w:hanging="180"/>
      </w:pPr>
    </w:lvl>
    <w:lvl w:ilvl="6" w:tplc="4E7437A2">
      <w:start w:val="1"/>
      <w:numFmt w:val="decimal"/>
      <w:lvlText w:val="%7."/>
      <w:lvlJc w:val="left"/>
      <w:pPr>
        <w:ind w:left="5040" w:hanging="360"/>
      </w:pPr>
    </w:lvl>
    <w:lvl w:ilvl="7" w:tplc="B0C2A892">
      <w:start w:val="1"/>
      <w:numFmt w:val="lowerLetter"/>
      <w:lvlText w:val="%8."/>
      <w:lvlJc w:val="left"/>
      <w:pPr>
        <w:ind w:left="5760" w:hanging="360"/>
      </w:pPr>
    </w:lvl>
    <w:lvl w:ilvl="8" w:tplc="9C4CBB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F4FA1"/>
    <w:multiLevelType w:val="multilevel"/>
    <w:tmpl w:val="2BAC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B4C7BF9"/>
    <w:multiLevelType w:val="hybridMultilevel"/>
    <w:tmpl w:val="280A7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04D07"/>
    <w:multiLevelType w:val="hybridMultilevel"/>
    <w:tmpl w:val="E1B2E68C"/>
    <w:lvl w:ilvl="0" w:tplc="2BE2EE50">
      <w:start w:val="1"/>
      <w:numFmt w:val="decimal"/>
      <w:lvlText w:val="%1."/>
      <w:lvlJc w:val="left"/>
      <w:pPr>
        <w:ind w:left="720" w:hanging="360"/>
      </w:pPr>
    </w:lvl>
    <w:lvl w:ilvl="1" w:tplc="18EA3638">
      <w:start w:val="1"/>
      <w:numFmt w:val="lowerLetter"/>
      <w:lvlText w:val="%2."/>
      <w:lvlJc w:val="left"/>
      <w:pPr>
        <w:ind w:left="1440" w:hanging="360"/>
      </w:pPr>
    </w:lvl>
    <w:lvl w:ilvl="2" w:tplc="7A8CCC36">
      <w:start w:val="1"/>
      <w:numFmt w:val="lowerRoman"/>
      <w:lvlText w:val="%3."/>
      <w:lvlJc w:val="right"/>
      <w:pPr>
        <w:ind w:left="2160" w:hanging="180"/>
      </w:pPr>
    </w:lvl>
    <w:lvl w:ilvl="3" w:tplc="B21C4FD2">
      <w:start w:val="1"/>
      <w:numFmt w:val="decimal"/>
      <w:lvlText w:val="%4."/>
      <w:lvlJc w:val="left"/>
      <w:pPr>
        <w:ind w:left="2880" w:hanging="360"/>
      </w:pPr>
    </w:lvl>
    <w:lvl w:ilvl="4" w:tplc="8A1A7B5E">
      <w:start w:val="1"/>
      <w:numFmt w:val="lowerLetter"/>
      <w:lvlText w:val="%5."/>
      <w:lvlJc w:val="left"/>
      <w:pPr>
        <w:ind w:left="3600" w:hanging="360"/>
      </w:pPr>
    </w:lvl>
    <w:lvl w:ilvl="5" w:tplc="56324036">
      <w:start w:val="1"/>
      <w:numFmt w:val="lowerRoman"/>
      <w:lvlText w:val="%6."/>
      <w:lvlJc w:val="right"/>
      <w:pPr>
        <w:ind w:left="4320" w:hanging="180"/>
      </w:pPr>
    </w:lvl>
    <w:lvl w:ilvl="6" w:tplc="AE28E782">
      <w:start w:val="1"/>
      <w:numFmt w:val="decimal"/>
      <w:lvlText w:val="%7."/>
      <w:lvlJc w:val="left"/>
      <w:pPr>
        <w:ind w:left="5040" w:hanging="360"/>
      </w:pPr>
    </w:lvl>
    <w:lvl w:ilvl="7" w:tplc="F06AA1C2">
      <w:start w:val="1"/>
      <w:numFmt w:val="lowerLetter"/>
      <w:lvlText w:val="%8."/>
      <w:lvlJc w:val="left"/>
      <w:pPr>
        <w:ind w:left="5760" w:hanging="360"/>
      </w:pPr>
    </w:lvl>
    <w:lvl w:ilvl="8" w:tplc="199023C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2144"/>
    <w:multiLevelType w:val="multilevel"/>
    <w:tmpl w:val="CB9C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0144CB"/>
    <w:multiLevelType w:val="multilevel"/>
    <w:tmpl w:val="08E20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5E44"/>
    <w:multiLevelType w:val="multilevel"/>
    <w:tmpl w:val="5206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C074E5C"/>
    <w:multiLevelType w:val="multilevel"/>
    <w:tmpl w:val="C224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D59301C"/>
    <w:multiLevelType w:val="multilevel"/>
    <w:tmpl w:val="9D70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61D079F"/>
    <w:multiLevelType w:val="hybridMultilevel"/>
    <w:tmpl w:val="281409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653496">
    <w:abstractNumId w:val="4"/>
  </w:num>
  <w:num w:numId="2" w16cid:durableId="1370647702">
    <w:abstractNumId w:val="6"/>
  </w:num>
  <w:num w:numId="3" w16cid:durableId="775055783">
    <w:abstractNumId w:val="1"/>
  </w:num>
  <w:num w:numId="4" w16cid:durableId="2113351513">
    <w:abstractNumId w:val="2"/>
  </w:num>
  <w:num w:numId="5" w16cid:durableId="710884933">
    <w:abstractNumId w:val="9"/>
  </w:num>
  <w:num w:numId="6" w16cid:durableId="1527862668">
    <w:abstractNumId w:val="8"/>
  </w:num>
  <w:num w:numId="7" w16cid:durableId="1006984646">
    <w:abstractNumId w:val="5"/>
  </w:num>
  <w:num w:numId="8" w16cid:durableId="748385949">
    <w:abstractNumId w:val="7"/>
  </w:num>
  <w:num w:numId="9" w16cid:durableId="1986157382">
    <w:abstractNumId w:val="0"/>
  </w:num>
  <w:num w:numId="10" w16cid:durableId="1537809256">
    <w:abstractNumId w:val="3"/>
  </w:num>
  <w:num w:numId="11" w16cid:durableId="14972670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FB"/>
    <w:rsid w:val="0005654E"/>
    <w:rsid w:val="00202813"/>
    <w:rsid w:val="004B6F6F"/>
    <w:rsid w:val="004D71FB"/>
    <w:rsid w:val="006E6DAE"/>
    <w:rsid w:val="00737DB6"/>
    <w:rsid w:val="00923F5E"/>
    <w:rsid w:val="009F7712"/>
    <w:rsid w:val="00A01F55"/>
    <w:rsid w:val="00B83D3F"/>
    <w:rsid w:val="00DA084D"/>
    <w:rsid w:val="00E77E3E"/>
    <w:rsid w:val="01073127"/>
    <w:rsid w:val="01EA4271"/>
    <w:rsid w:val="021AD260"/>
    <w:rsid w:val="03316377"/>
    <w:rsid w:val="0407B071"/>
    <w:rsid w:val="04B44685"/>
    <w:rsid w:val="04E33991"/>
    <w:rsid w:val="09611C50"/>
    <w:rsid w:val="096D2B3E"/>
    <w:rsid w:val="0AA4E3E1"/>
    <w:rsid w:val="0E2E33E8"/>
    <w:rsid w:val="0F392841"/>
    <w:rsid w:val="1005A9D3"/>
    <w:rsid w:val="10132240"/>
    <w:rsid w:val="11B7E00A"/>
    <w:rsid w:val="133D4A95"/>
    <w:rsid w:val="1353B06B"/>
    <w:rsid w:val="137F76C3"/>
    <w:rsid w:val="13BD6E01"/>
    <w:rsid w:val="14EF80CC"/>
    <w:rsid w:val="15B315DA"/>
    <w:rsid w:val="1816E736"/>
    <w:rsid w:val="187AE500"/>
    <w:rsid w:val="18D4E83E"/>
    <w:rsid w:val="19010805"/>
    <w:rsid w:val="19CBDFF4"/>
    <w:rsid w:val="1AAA31BF"/>
    <w:rsid w:val="1BD9061C"/>
    <w:rsid w:val="1C7E2465"/>
    <w:rsid w:val="1CEA5859"/>
    <w:rsid w:val="1D812113"/>
    <w:rsid w:val="1ECC22C9"/>
    <w:rsid w:val="1F73C02F"/>
    <w:rsid w:val="1F76C3CC"/>
    <w:rsid w:val="1F9CC400"/>
    <w:rsid w:val="2013A28B"/>
    <w:rsid w:val="21389461"/>
    <w:rsid w:val="21BDC97C"/>
    <w:rsid w:val="21BF8B84"/>
    <w:rsid w:val="2221C746"/>
    <w:rsid w:val="24703523"/>
    <w:rsid w:val="2483D7F9"/>
    <w:rsid w:val="2532B92D"/>
    <w:rsid w:val="26913A9F"/>
    <w:rsid w:val="27901A14"/>
    <w:rsid w:val="2842FE9A"/>
    <w:rsid w:val="291234B3"/>
    <w:rsid w:val="2943A646"/>
    <w:rsid w:val="29CA9D69"/>
    <w:rsid w:val="29D4A97F"/>
    <w:rsid w:val="2A9F2467"/>
    <w:rsid w:val="2CBB651C"/>
    <w:rsid w:val="2DF0BE72"/>
    <w:rsid w:val="2F872172"/>
    <w:rsid w:val="30ACE615"/>
    <w:rsid w:val="30E2B726"/>
    <w:rsid w:val="312B6D9C"/>
    <w:rsid w:val="34AE5607"/>
    <w:rsid w:val="35A43733"/>
    <w:rsid w:val="36BE29DE"/>
    <w:rsid w:val="37B114F6"/>
    <w:rsid w:val="37C5E735"/>
    <w:rsid w:val="38DFBAB9"/>
    <w:rsid w:val="391F8B68"/>
    <w:rsid w:val="3956E080"/>
    <w:rsid w:val="39689ECD"/>
    <w:rsid w:val="3AC79A93"/>
    <w:rsid w:val="3AFD87F7"/>
    <w:rsid w:val="3C572C2A"/>
    <w:rsid w:val="3C802FFB"/>
    <w:rsid w:val="3C995858"/>
    <w:rsid w:val="3CF1FE7D"/>
    <w:rsid w:val="40805361"/>
    <w:rsid w:val="42BD2853"/>
    <w:rsid w:val="42CC992C"/>
    <w:rsid w:val="4468698D"/>
    <w:rsid w:val="455C1472"/>
    <w:rsid w:val="460F6153"/>
    <w:rsid w:val="4813B1E1"/>
    <w:rsid w:val="488B6D80"/>
    <w:rsid w:val="48D7B6A0"/>
    <w:rsid w:val="49AD8FB6"/>
    <w:rsid w:val="4B95AC19"/>
    <w:rsid w:val="4BEE4657"/>
    <w:rsid w:val="4CA0DB17"/>
    <w:rsid w:val="5146EC95"/>
    <w:rsid w:val="51AD8CE7"/>
    <w:rsid w:val="54E52DA9"/>
    <w:rsid w:val="5A45C16D"/>
    <w:rsid w:val="5A773F7D"/>
    <w:rsid w:val="5D1F3C00"/>
    <w:rsid w:val="5DD93F33"/>
    <w:rsid w:val="5EBBCFF8"/>
    <w:rsid w:val="5EE276D1"/>
    <w:rsid w:val="6059A3BF"/>
    <w:rsid w:val="609BDA94"/>
    <w:rsid w:val="61899FFA"/>
    <w:rsid w:val="6237AAF5"/>
    <w:rsid w:val="62779D51"/>
    <w:rsid w:val="629595DD"/>
    <w:rsid w:val="62DD7334"/>
    <w:rsid w:val="6406B91D"/>
    <w:rsid w:val="640E4D1E"/>
    <w:rsid w:val="65D34981"/>
    <w:rsid w:val="668DD3FB"/>
    <w:rsid w:val="6695A7D4"/>
    <w:rsid w:val="68F1C1E6"/>
    <w:rsid w:val="69440998"/>
    <w:rsid w:val="6A0D9267"/>
    <w:rsid w:val="6C2962A8"/>
    <w:rsid w:val="6C7948A1"/>
    <w:rsid w:val="6C8F5E47"/>
    <w:rsid w:val="6F1DD23C"/>
    <w:rsid w:val="70856F68"/>
    <w:rsid w:val="7145A707"/>
    <w:rsid w:val="7260D599"/>
    <w:rsid w:val="7298A42C"/>
    <w:rsid w:val="740939B5"/>
    <w:rsid w:val="75D044EE"/>
    <w:rsid w:val="76083335"/>
    <w:rsid w:val="780C14D0"/>
    <w:rsid w:val="786E9747"/>
    <w:rsid w:val="7A1D8777"/>
    <w:rsid w:val="7BFC9E8B"/>
    <w:rsid w:val="7D334965"/>
    <w:rsid w:val="7EA0E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FF51"/>
  <w15:docId w15:val="{769BDF88-2333-4860-8D47-03CCAA2F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NZ" w:eastAsia="zh-CN" w:bidi="hi-IN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84D"/>
  </w:style>
  <w:style w:type="paragraph" w:styleId="Heading1">
    <w:name w:val="heading 1"/>
    <w:basedOn w:val="Normal"/>
    <w:next w:val="Normal"/>
    <w:link w:val="Heading1Char"/>
    <w:uiPriority w:val="9"/>
    <w:qFormat/>
    <w:rsid w:val="00DA084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84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84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8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8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8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8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8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8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/>
    </w:pPr>
    <w:rPr>
      <w:rFonts w:ascii="Liberation Sans" w:eastAsia="Noto Sans CJK SC Regular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uiPriority w:val="35"/>
    <w:unhideWhenUsed/>
    <w:qFormat/>
    <w:rsid w:val="00DA084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DA084D"/>
    <w:pPr>
      <w:ind w:left="720"/>
      <w:contextualSpacing/>
    </w:pPr>
    <w:rPr>
      <w:rFonts w:cs="Mangal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A0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084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84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84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84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84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84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84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84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A08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84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84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084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A084D"/>
    <w:rPr>
      <w:b/>
      <w:bCs/>
    </w:rPr>
  </w:style>
  <w:style w:type="character" w:styleId="Emphasis">
    <w:name w:val="Emphasis"/>
    <w:basedOn w:val="DefaultParagraphFont"/>
    <w:uiPriority w:val="20"/>
    <w:qFormat/>
    <w:rsid w:val="00DA084D"/>
    <w:rPr>
      <w:i/>
      <w:iCs/>
    </w:rPr>
  </w:style>
  <w:style w:type="paragraph" w:styleId="NoSpacing">
    <w:name w:val="No Spacing"/>
    <w:uiPriority w:val="1"/>
    <w:qFormat/>
    <w:rsid w:val="00DA084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084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84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84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84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A084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A084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084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A084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084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084D"/>
    <w:pPr>
      <w:outlineLvl w:val="9"/>
    </w:pPr>
  </w:style>
  <w:style w:type="table" w:styleId="TableGrid">
    <w:name w:val="Table Grid"/>
    <w:basedOn w:val="TableNormal"/>
    <w:uiPriority w:val="39"/>
    <w:rsid w:val="00A0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7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D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3D3F"/>
    <w:pPr>
      <w:tabs>
        <w:tab w:val="center" w:pos="4513"/>
        <w:tab w:val="right" w:pos="9026"/>
      </w:tabs>
      <w:spacing w:after="0" w:line="240" w:lineRule="auto"/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83D3F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B83D3F"/>
    <w:pPr>
      <w:tabs>
        <w:tab w:val="center" w:pos="4513"/>
        <w:tab w:val="right" w:pos="9026"/>
      </w:tabs>
      <w:spacing w:after="0" w:line="240" w:lineRule="auto"/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83D3F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psc.gov.au/initiatives-and-programs/workforce-information/taskforce-toolkit/scope/develop-terms-referenc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2109ca-195b-4a44-b67d-81fbb212dfae" xsi:nil="true"/>
    <lcf76f155ced4ddcb4097134ff3c332f xmlns="2e241899-2106-4a86-9a9a-31dd1da852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258E4791AD643975FB61FFABFEEB4" ma:contentTypeVersion="9" ma:contentTypeDescription="Create a new document." ma:contentTypeScope="" ma:versionID="3e68cc0216e738430ddb8ba9f4401c83">
  <xsd:schema xmlns:xsd="http://www.w3.org/2001/XMLSchema" xmlns:xs="http://www.w3.org/2001/XMLSchema" xmlns:p="http://schemas.microsoft.com/office/2006/metadata/properties" xmlns:ns2="2e241899-2106-4a86-9a9a-31dd1da8525b" xmlns:ns3="002109ca-195b-4a44-b67d-81fbb212dfae" targetNamespace="http://schemas.microsoft.com/office/2006/metadata/properties" ma:root="true" ma:fieldsID="7fe70e4035efa20794658299ddd84527" ns2:_="" ns3:_="">
    <xsd:import namespace="2e241899-2106-4a86-9a9a-31dd1da8525b"/>
    <xsd:import namespace="002109ca-195b-4a44-b67d-81fbb212d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1899-2106-4a86-9a9a-31dd1da85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2765de2-c6e2-41bf-949b-17eceefd75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109ca-195b-4a44-b67d-81fbb212dfa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6615592-fdc4-4424-8ade-55b564311440}" ma:internalName="TaxCatchAll" ma:showField="CatchAllData" ma:web="002109ca-195b-4a44-b67d-81fbb212d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EA07E-6E3C-4DF0-8E5C-07175A4E26B2}">
  <ds:schemaRefs>
    <ds:schemaRef ds:uri="http://schemas.microsoft.com/office/2006/metadata/properties"/>
    <ds:schemaRef ds:uri="http://schemas.microsoft.com/office/infopath/2007/PartnerControls"/>
    <ds:schemaRef ds:uri="002109ca-195b-4a44-b67d-81fbb212dfae"/>
    <ds:schemaRef ds:uri="2e241899-2106-4a86-9a9a-31dd1da8525b"/>
  </ds:schemaRefs>
</ds:datastoreItem>
</file>

<file path=customXml/itemProps2.xml><?xml version="1.0" encoding="utf-8"?>
<ds:datastoreItem xmlns:ds="http://schemas.openxmlformats.org/officeDocument/2006/customXml" ds:itemID="{8BFDFED2-4E06-4D6E-A463-93D1F7DD3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C01EB-FCC5-4C93-A083-013C81FEB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41899-2106-4a86-9a9a-31dd1da8525b"/>
    <ds:schemaRef ds:uri="002109ca-195b-4a44-b67d-81fbb212d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Pears</dc:creator>
  <dc:description/>
  <cp:lastModifiedBy>NZ Gastro Office</cp:lastModifiedBy>
  <cp:revision>16</cp:revision>
  <dcterms:created xsi:type="dcterms:W3CDTF">2022-08-10T21:48:00Z</dcterms:created>
  <dcterms:modified xsi:type="dcterms:W3CDTF">2023-02-28T18:49:00Z</dcterms:modified>
  <dc:language>en-NZ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0x01010054F258E4791AD643975FB61FFABFEEB4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{"FileActivityType":"9","FileActivityTimeStamp":"2023-02-20T00:17:37.683Z","FileActivityUsersOnPage":[{"DisplayName":"NZ Gastro Office","Id":"office@nzsg.org.nz"}],"FileActivityNavigationId":null}</vt:lpwstr>
  </property>
  <property fmtid="{D5CDD505-2E9C-101B-9397-08002B2CF9AE}" pid="9" name="TriggerFlowInfo">
    <vt:lpwstr/>
  </property>
</Properties>
</file>