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2F" w:rsidRDefault="00D3432F" w:rsidP="00D3432F">
      <w:pPr>
        <w:pStyle w:val="reprint-date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b/>
          <w:bCs/>
          <w:color w:val="000000"/>
          <w:sz w:val="36"/>
          <w:szCs w:val="36"/>
        </w:rPr>
        <w:t>Reprint</w:t>
      </w:r>
      <w:r>
        <w:rPr>
          <w:b/>
          <w:bCs/>
          <w:color w:val="000000"/>
          <w:sz w:val="36"/>
          <w:szCs w:val="36"/>
        </w:rPr>
        <w:br/>
        <w:t>as at 1 November 2014</w:t>
      </w:r>
    </w:p>
    <w:p w:rsidR="00D3432F" w:rsidRDefault="00D3432F" w:rsidP="00D3432F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  <w:lang w:eastAsia="zh-CN"/>
        </w:rPr>
        <w:drawing>
          <wp:inline distT="0" distB="0" distL="0" distR="0">
            <wp:extent cx="1402080" cy="1341120"/>
            <wp:effectExtent l="0" t="0" r="7620" b="0"/>
            <wp:docPr id="2" name="Picture 2" descr="Coat of Arms of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at of Arms of New Zeal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32F" w:rsidRDefault="00D3432F" w:rsidP="00D3432F">
      <w:pPr>
        <w:pStyle w:val="Heading1"/>
        <w:shd w:val="clear" w:color="auto" w:fill="FFFFFF"/>
        <w:spacing w:before="480" w:line="288" w:lineRule="atLeast"/>
        <w:jc w:val="center"/>
        <w:textAlignment w:val="baseline"/>
        <w:rPr>
          <w:rFonts w:ascii="Times New Roman" w:hAnsi="Times New Roman" w:cs="Times New Roman"/>
          <w:color w:val="000000"/>
          <w:sz w:val="41"/>
          <w:szCs w:val="41"/>
        </w:rPr>
      </w:pPr>
      <w:r>
        <w:rPr>
          <w:color w:val="000000"/>
          <w:sz w:val="41"/>
          <w:szCs w:val="41"/>
        </w:rPr>
        <w:t>Land Transport (Road User) Rule 2004</w:t>
      </w:r>
    </w:p>
    <w:p w:rsidR="00D3432F" w:rsidRDefault="00D3432F" w:rsidP="00D3432F">
      <w:pPr>
        <w:shd w:val="clear" w:color="auto" w:fill="FFFFFF"/>
        <w:spacing w:after="0" w:line="288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000000"/>
          <w:sz w:val="29"/>
          <w:szCs w:val="29"/>
          <w:bdr w:val="none" w:sz="0" w:space="0" w:color="auto" w:frame="1"/>
        </w:rPr>
      </w:pPr>
    </w:p>
    <w:p w:rsidR="00D3432F" w:rsidRPr="00D3432F" w:rsidRDefault="00D3432F" w:rsidP="00D3432F">
      <w:pPr>
        <w:shd w:val="clear" w:color="auto" w:fill="FFFFFF"/>
        <w:spacing w:after="0" w:line="288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 w:rsidRPr="00D3432F">
        <w:rPr>
          <w:rFonts w:ascii="inherit" w:eastAsia="Times New Roman" w:hAnsi="inherit" w:cs="Times New Roman"/>
          <w:b/>
          <w:bCs/>
          <w:color w:val="000000"/>
          <w:sz w:val="29"/>
          <w:szCs w:val="29"/>
          <w:bdr w:val="none" w:sz="0" w:space="0" w:color="auto" w:frame="1"/>
        </w:rPr>
        <w:t>6.4</w:t>
      </w:r>
      <w:r w:rsidRPr="00D3432F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Parking contrary to notice, traffic sign, or marking</w:t>
      </w:r>
    </w:p>
    <w:p w:rsidR="00D3432F" w:rsidRPr="00D3432F" w:rsidRDefault="00D3432F" w:rsidP="00D3432F">
      <w:pPr>
        <w:numPr>
          <w:ilvl w:val="0"/>
          <w:numId w:val="1"/>
        </w:numPr>
        <w:shd w:val="clear" w:color="auto" w:fill="FFFFFF"/>
        <w:spacing w:after="0" w:line="288" w:lineRule="atLeast"/>
        <w:ind w:right="2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(1)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A driver or person in charge of a vehicle must not stop, stand, or park the vehicle on any part of a road contrary to the terms of a notice, traffic sign, or marking that—</w:t>
      </w:r>
    </w:p>
    <w:p w:rsidR="00D3432F" w:rsidRPr="00D3432F" w:rsidRDefault="00D3432F" w:rsidP="00D3432F">
      <w:pPr>
        <w:numPr>
          <w:ilvl w:val="1"/>
          <w:numId w:val="1"/>
        </w:numPr>
        <w:shd w:val="clear" w:color="auto" w:fill="FFFFFF"/>
        <w:spacing w:after="0" w:line="288" w:lineRule="atLeast"/>
        <w:ind w:right="2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(a)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indicates that stopping, standing, or parking vehicles is prohibited, limited, or restricted; and</w:t>
      </w:r>
    </w:p>
    <w:p w:rsidR="00D3432F" w:rsidRPr="00D3432F" w:rsidRDefault="00D3432F" w:rsidP="00D3432F">
      <w:pPr>
        <w:numPr>
          <w:ilvl w:val="1"/>
          <w:numId w:val="1"/>
        </w:numPr>
        <w:shd w:val="clear" w:color="auto" w:fill="FFFFFF"/>
        <w:spacing w:after="0" w:line="288" w:lineRule="atLeast"/>
        <w:ind w:right="2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(b)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is on or adjacent to the road; and</w:t>
      </w:r>
    </w:p>
    <w:p w:rsidR="00D3432F" w:rsidRPr="00D3432F" w:rsidRDefault="00D3432F" w:rsidP="00D3432F">
      <w:pPr>
        <w:numPr>
          <w:ilvl w:val="1"/>
          <w:numId w:val="1"/>
        </w:numPr>
        <w:shd w:val="clear" w:color="auto" w:fill="FFFFFF"/>
        <w:spacing w:after="0" w:line="288" w:lineRule="atLeast"/>
        <w:ind w:right="2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(c</w:t>
      </w:r>
      <w:proofErr w:type="gramStart"/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)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gramEnd"/>
      <w:r w:rsidRPr="00D3432F">
        <w:rPr>
          <w:rFonts w:ascii="Arial" w:eastAsia="Times New Roman" w:hAnsi="Arial" w:cs="Arial"/>
          <w:color w:val="000000"/>
          <w:sz w:val="20"/>
          <w:szCs w:val="20"/>
        </w:rPr>
        <w:t xml:space="preserve"> authorised by a road controlling authority under the Land Transport Rule: Traffic Control Devices 2004.</w:t>
      </w:r>
    </w:p>
    <w:p w:rsidR="00D3432F" w:rsidRPr="00D3432F" w:rsidRDefault="00D3432F" w:rsidP="00D3432F">
      <w:pPr>
        <w:shd w:val="clear" w:color="auto" w:fill="FFFFFF"/>
        <w:spacing w:after="0" w:line="288" w:lineRule="atLeast"/>
        <w:ind w:left="720" w:right="2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(1A)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 xml:space="preserve">Without limiting </w:t>
      </w:r>
      <w:proofErr w:type="spellStart"/>
      <w:r w:rsidRPr="00D3432F">
        <w:rPr>
          <w:rFonts w:ascii="Arial" w:eastAsia="Times New Roman" w:hAnsi="Arial" w:cs="Arial"/>
          <w:color w:val="000000"/>
          <w:sz w:val="20"/>
          <w:szCs w:val="20"/>
        </w:rPr>
        <w:t>subclause</w:t>
      </w:r>
      <w:proofErr w:type="spellEnd"/>
      <w:r w:rsidRPr="00D3432F">
        <w:rPr>
          <w:rFonts w:ascii="Arial" w:eastAsia="Times New Roman" w:hAnsi="Arial" w:cs="Arial"/>
          <w:color w:val="000000"/>
          <w:sz w:val="20"/>
          <w:szCs w:val="20"/>
        </w:rPr>
        <w:t xml:space="preserve"> (1), a driver or person in charge of a vehicle must not stop, stand, or park the vehicle in any parking area reserved for disabled persons unless—</w:t>
      </w:r>
    </w:p>
    <w:p w:rsidR="00D3432F" w:rsidRPr="00D3432F" w:rsidRDefault="00D3432F" w:rsidP="00D3432F">
      <w:pPr>
        <w:numPr>
          <w:ilvl w:val="1"/>
          <w:numId w:val="1"/>
        </w:numPr>
        <w:shd w:val="clear" w:color="auto" w:fill="FFFFFF"/>
        <w:spacing w:after="0" w:line="288" w:lineRule="atLeast"/>
        <w:ind w:right="2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(a)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the driver or any passenger is disabled; and</w:t>
      </w:r>
    </w:p>
    <w:p w:rsidR="00D3432F" w:rsidRPr="00D3432F" w:rsidRDefault="00D3432F" w:rsidP="00D3432F">
      <w:pPr>
        <w:numPr>
          <w:ilvl w:val="1"/>
          <w:numId w:val="1"/>
        </w:numPr>
        <w:shd w:val="clear" w:color="auto" w:fill="FFFFFF"/>
        <w:spacing w:after="0" w:line="288" w:lineRule="atLeast"/>
        <w:ind w:right="2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(b</w:t>
      </w:r>
      <w:proofErr w:type="gramStart"/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)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an</w:t>
      </w:r>
      <w:proofErr w:type="gramEnd"/>
      <w:r w:rsidRPr="00D3432F">
        <w:rPr>
          <w:rFonts w:ascii="Arial" w:eastAsia="Times New Roman" w:hAnsi="Arial" w:cs="Arial"/>
          <w:color w:val="000000"/>
          <w:sz w:val="20"/>
          <w:szCs w:val="20"/>
        </w:rPr>
        <w:t xml:space="preserve"> approved disabled person’s parking permit is prominently displayed in the vehicle.</w:t>
      </w:r>
    </w:p>
    <w:p w:rsidR="00D3432F" w:rsidRPr="00D3432F" w:rsidRDefault="00D3432F" w:rsidP="00D3432F">
      <w:pPr>
        <w:shd w:val="clear" w:color="auto" w:fill="FFFFFF"/>
        <w:spacing w:after="0" w:line="288" w:lineRule="atLeast"/>
        <w:ind w:left="720" w:right="2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(2)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A sign that imposes a parking restriction and incorporates the symbol</w:t>
      </w:r>
      <w:r w:rsidRPr="007D6D4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“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”</w:t>
      </w:r>
      <w:r w:rsidRPr="007D6D4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or</w:t>
      </w:r>
      <w:r w:rsidRPr="007D6D4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“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P$</w:t>
      </w: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”</w:t>
      </w:r>
      <w:r w:rsidRPr="007D6D4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on the top of the sign, or relates to a loading zone, applies between the hours of 8 am and 6 pm on days other than public holidays, unless otherwise specified on the sign or on a supplementary sign. All other signs apply at all hours of the day and night, unless a time period is specified on the sign.</w:t>
      </w:r>
    </w:p>
    <w:p w:rsidR="00D3432F" w:rsidRPr="00D3432F" w:rsidRDefault="00D3432F" w:rsidP="00D3432F">
      <w:pPr>
        <w:shd w:val="clear" w:color="auto" w:fill="FFFFFF"/>
        <w:spacing w:after="0" w:line="288" w:lineRule="atLeast"/>
        <w:ind w:left="720" w:right="2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(3)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The words</w:t>
      </w:r>
      <w:r w:rsidRPr="007D6D4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“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>other times</w:t>
      </w: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”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 xml:space="preserve">, or any words of similar effect, on a parking sign mean that any restriction on the sign applies while the sign applies under </w:t>
      </w:r>
      <w:proofErr w:type="spellStart"/>
      <w:r w:rsidRPr="00D3432F">
        <w:rPr>
          <w:rFonts w:ascii="Arial" w:eastAsia="Times New Roman" w:hAnsi="Arial" w:cs="Arial"/>
          <w:color w:val="000000"/>
          <w:sz w:val="20"/>
          <w:szCs w:val="20"/>
        </w:rPr>
        <w:t>subclause</w:t>
      </w:r>
      <w:proofErr w:type="spellEnd"/>
      <w:r w:rsidRPr="00D3432F">
        <w:rPr>
          <w:rFonts w:ascii="Arial" w:eastAsia="Times New Roman" w:hAnsi="Arial" w:cs="Arial"/>
          <w:color w:val="000000"/>
          <w:sz w:val="20"/>
          <w:szCs w:val="20"/>
        </w:rPr>
        <w:t xml:space="preserve"> (2), but does not apply during the times specified by an immediately adjacent sign that notifies a different restriction.</w:t>
      </w:r>
    </w:p>
    <w:p w:rsidR="00D3432F" w:rsidRPr="00D3432F" w:rsidRDefault="00D3432F" w:rsidP="00D3432F">
      <w:pPr>
        <w:shd w:val="clear" w:color="auto" w:fill="FFFFFF"/>
        <w:spacing w:after="0" w:line="288" w:lineRule="atLeast"/>
        <w:ind w:left="720" w:right="2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7D6D4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(4)</w:t>
      </w:r>
      <w:r w:rsidRPr="00D3432F">
        <w:rPr>
          <w:rFonts w:ascii="Arial" w:eastAsia="Times New Roman" w:hAnsi="Arial" w:cs="Arial"/>
          <w:color w:val="000000"/>
          <w:sz w:val="20"/>
          <w:szCs w:val="20"/>
        </w:rPr>
        <w:t xml:space="preserve">A driver or person in charge of a vehicle must not stop, stand, or park the vehicle on any part of a roadway where the road controlling authority has marked a broken yellow line </w:t>
      </w:r>
      <w:proofErr w:type="gramStart"/>
      <w:r w:rsidRPr="00D3432F">
        <w:rPr>
          <w:rFonts w:ascii="Arial" w:eastAsia="Times New Roman" w:hAnsi="Arial" w:cs="Arial"/>
          <w:color w:val="000000"/>
          <w:sz w:val="20"/>
          <w:szCs w:val="20"/>
        </w:rPr>
        <w:t>parallel</w:t>
      </w:r>
      <w:proofErr w:type="gramEnd"/>
      <w:r w:rsidRPr="00D3432F">
        <w:rPr>
          <w:rFonts w:ascii="Arial" w:eastAsia="Times New Roman" w:hAnsi="Arial" w:cs="Arial"/>
          <w:color w:val="000000"/>
          <w:sz w:val="20"/>
          <w:szCs w:val="20"/>
        </w:rPr>
        <w:t xml:space="preserve"> to, and at a distance of not more than 1 m from, the edge of the roadway.</w:t>
      </w:r>
    </w:p>
    <w:p w:rsidR="007D6D44" w:rsidRPr="007D6D44" w:rsidRDefault="007D6D44" w:rsidP="007D6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3131B" w:rsidRDefault="0083131B" w:rsidP="007D6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D6D44" w:rsidRPr="007D6D44" w:rsidRDefault="007D6D44" w:rsidP="007D6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D6D44">
        <w:rPr>
          <w:rFonts w:ascii="Arial" w:hAnsi="Arial" w:cs="Arial"/>
          <w:b/>
          <w:bCs/>
          <w:sz w:val="20"/>
          <w:szCs w:val="20"/>
        </w:rPr>
        <w:t>P107 Parked in area of broken yellow line</w:t>
      </w:r>
    </w:p>
    <w:p w:rsidR="007D6D44" w:rsidRPr="007D6D44" w:rsidRDefault="007D6D44" w:rsidP="007D6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D6D44">
        <w:rPr>
          <w:rFonts w:ascii="Arial" w:hAnsi="Arial" w:cs="Arial"/>
          <w:sz w:val="20"/>
          <w:szCs w:val="20"/>
        </w:rPr>
        <w:t>(Effective date = 1 Jul 2014) (Infringement = $60)</w:t>
      </w:r>
    </w:p>
    <w:p w:rsidR="007D6D44" w:rsidRPr="007D6D44" w:rsidRDefault="007D6D44" w:rsidP="007D6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D6D44">
        <w:rPr>
          <w:rFonts w:ascii="Arial" w:hAnsi="Arial" w:cs="Arial"/>
          <w:sz w:val="20"/>
          <w:szCs w:val="20"/>
        </w:rPr>
        <w:t xml:space="preserve">Land Transport Act 1998, s.40 &amp; Offences &amp; Penalties </w:t>
      </w:r>
      <w:proofErr w:type="spellStart"/>
      <w:r w:rsidRPr="007D6D44">
        <w:rPr>
          <w:rFonts w:ascii="Arial" w:hAnsi="Arial" w:cs="Arial"/>
          <w:sz w:val="20"/>
          <w:szCs w:val="20"/>
        </w:rPr>
        <w:t>Regs</w:t>
      </w:r>
      <w:proofErr w:type="spellEnd"/>
      <w:r w:rsidRPr="007D6D44">
        <w:rPr>
          <w:rFonts w:ascii="Arial" w:hAnsi="Arial" w:cs="Arial"/>
          <w:sz w:val="20"/>
          <w:szCs w:val="20"/>
        </w:rPr>
        <w:t xml:space="preserve"> 1999, r4 &amp; 6.4(4) Road User Rule 2004</w:t>
      </w:r>
    </w:p>
    <w:p w:rsidR="007D6D44" w:rsidRPr="007D6D44" w:rsidRDefault="007D6D44" w:rsidP="007D6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D6D44">
        <w:rPr>
          <w:rFonts w:ascii="Arial" w:hAnsi="Arial" w:cs="Arial"/>
          <w:sz w:val="20"/>
          <w:szCs w:val="20"/>
        </w:rPr>
        <w:t>Maximum fine = $1,000, Maximum prison = 0, Minimum disqualification = 0, Notice type = G/K/L</w:t>
      </w:r>
    </w:p>
    <w:p w:rsidR="007D6D44" w:rsidRPr="007D6D44" w:rsidRDefault="007D6D44" w:rsidP="007D6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D6D44">
        <w:rPr>
          <w:rFonts w:ascii="Arial" w:hAnsi="Arial" w:cs="Arial"/>
          <w:b/>
          <w:bCs/>
          <w:sz w:val="20"/>
          <w:szCs w:val="20"/>
        </w:rPr>
        <w:t xml:space="preserve">NOP </w:t>
      </w:r>
      <w:r w:rsidRPr="007D6D44">
        <w:rPr>
          <w:rFonts w:ascii="Arial" w:hAnsi="Arial" w:cs="Arial"/>
          <w:sz w:val="20"/>
          <w:szCs w:val="20"/>
        </w:rPr>
        <w:t>Parked a vehicle in an area marked by a broken yellow line.</w:t>
      </w:r>
    </w:p>
    <w:sectPr w:rsidR="007D6D44" w:rsidRPr="007D6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E2EE9"/>
    <w:multiLevelType w:val="multilevel"/>
    <w:tmpl w:val="9CEE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2F"/>
    <w:rsid w:val="007D6D44"/>
    <w:rsid w:val="0083131B"/>
    <w:rsid w:val="00920EFF"/>
    <w:rsid w:val="00D3432F"/>
    <w:rsid w:val="00E3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9A088-8B99-4A47-96E2-A5B8E53B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D343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3432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abel">
    <w:name w:val="label"/>
    <w:basedOn w:val="DefaultParagraphFont"/>
    <w:rsid w:val="00D3432F"/>
  </w:style>
  <w:style w:type="paragraph" w:customStyle="1" w:styleId="labelled">
    <w:name w:val="labelled"/>
    <w:basedOn w:val="Normal"/>
    <w:rsid w:val="00D3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432F"/>
  </w:style>
  <w:style w:type="character" w:customStyle="1" w:styleId="q">
    <w:name w:val="q"/>
    <w:basedOn w:val="DefaultParagraphFont"/>
    <w:rsid w:val="00D3432F"/>
  </w:style>
  <w:style w:type="paragraph" w:customStyle="1" w:styleId="cf">
    <w:name w:val="cf"/>
    <w:basedOn w:val="Normal"/>
    <w:rsid w:val="00D3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432F"/>
    <w:rPr>
      <w:color w:val="0000FF"/>
      <w:u w:val="single"/>
    </w:rPr>
  </w:style>
  <w:style w:type="paragraph" w:customStyle="1" w:styleId="history-note">
    <w:name w:val="history-note"/>
    <w:basedOn w:val="Normal"/>
    <w:rsid w:val="00D3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rint-date2">
    <w:name w:val="reprint-date2"/>
    <w:basedOn w:val="Normal"/>
    <w:rsid w:val="00D3432F"/>
    <w:pPr>
      <w:spacing w:before="83" w:after="216" w:line="288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34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print-date">
    <w:name w:val="reprint-date"/>
    <w:basedOn w:val="Normal"/>
    <w:rsid w:val="00D3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92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958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14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00875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9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Police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GROEN, Rick</dc:creator>
  <cp:keywords/>
  <dc:description/>
  <cp:lastModifiedBy>HAGERTY, Bradley</cp:lastModifiedBy>
  <cp:revision>2</cp:revision>
  <cp:lastPrinted>2016-08-21T22:12:00Z</cp:lastPrinted>
  <dcterms:created xsi:type="dcterms:W3CDTF">2019-03-11T02:10:00Z</dcterms:created>
  <dcterms:modified xsi:type="dcterms:W3CDTF">2019-03-11T02:10:00Z</dcterms:modified>
</cp:coreProperties>
</file>