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Title: Discover A New Religious Education Programme  To Tātou Whakapono Our Faith: </w:t>
      </w:r>
    </w:p>
    <w:p w:rsidR="00000000" w:rsidDel="00000000" w:rsidP="00000000" w:rsidRDefault="00000000" w:rsidRPr="00000000" w14:paraId="00000002">
      <w:pPr>
        <w:pBdr>
          <w:top w:color="e3e3e3" w:space="0" w:sz="0" w:val="none"/>
          <w:left w:color="e3e3e3" w:space="0" w:sz="0" w:val="none"/>
          <w:bottom w:color="e3e3e3" w:space="0" w:sz="0" w:val="none"/>
          <w:right w:color="e3e3e3" w:space="0" w:sz="0" w:val="none"/>
          <w:between w:color="e3e3e3" w:space="0" w:sz="0" w:val="none"/>
        </w:pBdr>
        <w:shd w:fill="ffffff" w:val="clear"/>
        <w:spacing w:after="300" w:lineRule="auto"/>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Kia ora whānau,</w:t>
      </w:r>
    </w:p>
    <w:p w:rsidR="00000000" w:rsidDel="00000000" w:rsidP="00000000" w:rsidRDefault="00000000" w:rsidRPr="00000000" w14:paraId="00000003">
      <w:pPr>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We're thrilled to introduce you to To Tātou Whakapono, our exciting new Religious Education programme designed to enrich your child's learning experience. To Tātou Whakapono incorporates four Te Rama Whakapono Themes, each offering a unique perspective on theological, scriptural, historical, and pastoral aspects of faith.</w:t>
      </w:r>
    </w:p>
    <w:p w:rsidR="00000000" w:rsidDel="00000000" w:rsidP="00000000" w:rsidRDefault="00000000" w:rsidRPr="00000000" w14:paraId="00000004">
      <w:pPr>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05">
      <w:pPr>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But that's not all. Interwoven throughout these themes are five Te Rama Aroha Cross Themes, which serve as the foundation of our curriculum, guiding students from year 1 to year 13.</w:t>
      </w:r>
    </w:p>
    <w:p w:rsidR="00000000" w:rsidDel="00000000" w:rsidP="00000000" w:rsidRDefault="00000000" w:rsidRPr="00000000" w14:paraId="00000006">
      <w:pPr>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07">
      <w:pPr>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Our programme aims to cover a range of Ngā Whāinga Paetae Achievement Objectives (AOs), ensuring your child gains essential knowledge and understanding of religious concepts. These objectives are diverse, allowing for creativity and flexibility in teaching and learning.</w:t>
      </w:r>
    </w:p>
    <w:p w:rsidR="00000000" w:rsidDel="00000000" w:rsidP="00000000" w:rsidRDefault="00000000" w:rsidRPr="00000000" w14:paraId="00000008">
      <w:pPr>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09">
      <w:pPr>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Within the Te Rama Whakapono Themes, we have Ngā Kaupapa Content Areas, which provide meaningful contexts for learning. These areas are designed to capture key ideas and engage students in deep exploration of their faith.</w:t>
      </w:r>
    </w:p>
    <w:p w:rsidR="00000000" w:rsidDel="00000000" w:rsidP="00000000" w:rsidRDefault="00000000" w:rsidRPr="00000000" w14:paraId="0000000A">
      <w:pPr>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0B">
      <w:pPr>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Moreover, we believe in integrating religious education into the wider school community. That's why we've introduced school-level Te Whāinga Paetae Achievement Objective (AO9) at each phase of learning. These objectives foster cohesion and support your child's spiritual journey beyond the classroom.</w:t>
      </w:r>
    </w:p>
    <w:p w:rsidR="00000000" w:rsidDel="00000000" w:rsidP="00000000" w:rsidRDefault="00000000" w:rsidRPr="00000000" w14:paraId="0000000C">
      <w:pPr>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0D">
      <w:pPr>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Finally, our Ngā Kōhatu Touchstones are linked to each year-level group, providing a meaningful framework for teaching and learning. These touchstones serve as guiding principles, grounding our students in their faith and enhancing their educational experience.</w:t>
      </w:r>
    </w:p>
    <w:p w:rsidR="00000000" w:rsidDel="00000000" w:rsidP="00000000" w:rsidRDefault="00000000" w:rsidRPr="00000000" w14:paraId="0000000E">
      <w:pPr>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0F">
      <w:pPr>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In summary, To Tātou Whakapono offers a comprehensive approach to religious education, celebrating cultural diversity and enriching the spiritual growth of our students. We're excited to embark on this journey with you and your child.</w:t>
      </w:r>
    </w:p>
    <w:p w:rsidR="00000000" w:rsidDel="00000000" w:rsidP="00000000" w:rsidRDefault="00000000" w:rsidRPr="00000000" w14:paraId="00000010">
      <w:pPr>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11">
      <w:pPr>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Currently, the phase encompassing Year 0-2 has concluded, with Year 3-4 expected to conclude by the end of 2024, and the full implementation of Years 5-8 anticipated by the end of 2026 /early 2027. Additionally, we continue to utilise Faith Alive for certain aspects of our teaching.</w:t>
      </w:r>
    </w:p>
    <w:p w:rsidR="00000000" w:rsidDel="00000000" w:rsidP="00000000" w:rsidRDefault="00000000" w:rsidRPr="00000000" w14:paraId="00000012">
      <w:pPr>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13">
      <w:pPr>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Noho ora mai,</w:t>
      </w:r>
    </w:p>
    <w:p w:rsidR="00000000" w:rsidDel="00000000" w:rsidP="00000000" w:rsidRDefault="00000000" w:rsidRPr="00000000" w14:paraId="00000014">
      <w:pPr>
        <w:rPr>
          <w:rFonts w:ascii="Roboto" w:cs="Roboto" w:eastAsia="Roboto" w:hAnsi="Roboto"/>
          <w:color w:val="0d0d0d"/>
          <w:sz w:val="24"/>
          <w:szCs w:val="24"/>
        </w:rPr>
      </w:pPr>
      <w:r w:rsidDel="00000000" w:rsidR="00000000" w:rsidRPr="00000000">
        <w:rPr>
          <w:rtl w:val="0"/>
        </w:rPr>
      </w:r>
    </w:p>
    <w:p w:rsidR="00000000" w:rsidDel="00000000" w:rsidP="00000000" w:rsidRDefault="00000000" w:rsidRPr="00000000" w14:paraId="00000015">
      <w:pPr>
        <w:rPr>
          <w:rFonts w:ascii="Roboto" w:cs="Roboto" w:eastAsia="Roboto" w:hAnsi="Roboto"/>
          <w:color w:val="0d0d0d"/>
          <w:sz w:val="24"/>
          <w:szCs w:val="24"/>
        </w:rPr>
      </w:pPr>
      <w:r w:rsidDel="00000000" w:rsidR="00000000" w:rsidRPr="00000000">
        <w:rPr>
          <w:rFonts w:ascii="Roboto" w:cs="Roboto" w:eastAsia="Roboto" w:hAnsi="Roboto"/>
          <w:color w:val="0d0d0d"/>
          <w:sz w:val="24"/>
          <w:szCs w:val="24"/>
          <w:rtl w:val="0"/>
        </w:rPr>
        <w:t xml:space="preserve">Pamela Gallagher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