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jc w:val="center"/>
        <w:tblCellSpacing w:w="0" w:type="dxa"/>
        <w:tblCellMar>
          <w:left w:w="0" w:type="dxa"/>
          <w:right w:w="0" w:type="dxa"/>
        </w:tblCellMar>
        <w:tblLook w:val="04A0" w:firstRow="1" w:lastRow="0" w:firstColumn="1" w:lastColumn="0" w:noHBand="0" w:noVBand="1"/>
      </w:tblPr>
      <w:tblGrid>
        <w:gridCol w:w="9026"/>
      </w:tblGrid>
      <w:tr w:rsidR="00627FCA" w:rsidRPr="00627FCA" w14:paraId="0DC5084A" w14:textId="77777777" w:rsidTr="00627FCA">
        <w:trPr>
          <w:tblCellSpacing w:w="0" w:type="dxa"/>
          <w:jc w:val="center"/>
        </w:trPr>
        <w:tc>
          <w:tcPr>
            <w:tcW w:w="0" w:type="auto"/>
            <w:vAlign w:val="center"/>
            <w:hideMark/>
          </w:tcPr>
          <w:tbl>
            <w:tblPr>
              <w:tblW w:w="5000" w:type="pct"/>
              <w:tblCellSpacing w:w="18" w:type="dxa"/>
              <w:shd w:val="clear" w:color="auto" w:fill="FFFFFF"/>
              <w:tblCellMar>
                <w:left w:w="0" w:type="dxa"/>
                <w:right w:w="0" w:type="dxa"/>
              </w:tblCellMar>
              <w:tblLook w:val="04A0" w:firstRow="1" w:lastRow="0" w:firstColumn="1" w:lastColumn="0" w:noHBand="0" w:noVBand="1"/>
            </w:tblPr>
            <w:tblGrid>
              <w:gridCol w:w="9026"/>
            </w:tblGrid>
            <w:tr w:rsidR="00627FCA" w:rsidRPr="00627FCA" w14:paraId="2E5AA6F3" w14:textId="77777777">
              <w:trPr>
                <w:tblCellSpacing w:w="18" w:type="dxa"/>
              </w:trPr>
              <w:tc>
                <w:tcPr>
                  <w:tcW w:w="0" w:type="auto"/>
                  <w:shd w:val="clear" w:color="auto" w:fill="071937"/>
                  <w:tcMar>
                    <w:top w:w="225" w:type="dxa"/>
                    <w:left w:w="150" w:type="dxa"/>
                    <w:bottom w:w="150" w:type="dxa"/>
                    <w:right w:w="150" w:type="dxa"/>
                  </w:tcMar>
                  <w:hideMark/>
                </w:tcPr>
                <w:p w14:paraId="696DA4DD" w14:textId="074EABC0" w:rsidR="00627FCA" w:rsidRPr="00627FCA" w:rsidRDefault="00627FCA" w:rsidP="00627FCA">
                  <w:r w:rsidRPr="00627FCA">
                    <w:drawing>
                      <wp:inline distT="0" distB="0" distL="0" distR="0" wp14:anchorId="76850DC1" wp14:editId="6B250C1D">
                        <wp:extent cx="1432560" cy="723900"/>
                        <wp:effectExtent l="0" t="0" r="0" b="0"/>
                        <wp:docPr id="208509079" name="Picture 2" descr="Bann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descr="Banner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2560" cy="723900"/>
                                </a:xfrm>
                                <a:prstGeom prst="rect">
                                  <a:avLst/>
                                </a:prstGeom>
                                <a:noFill/>
                                <a:ln>
                                  <a:noFill/>
                                </a:ln>
                              </pic:spPr>
                            </pic:pic>
                          </a:graphicData>
                        </a:graphic>
                      </wp:inline>
                    </w:drawing>
                  </w:r>
                </w:p>
              </w:tc>
            </w:tr>
            <w:tr w:rsidR="00627FCA" w:rsidRPr="00627FCA" w14:paraId="22B45861" w14:textId="77777777">
              <w:trPr>
                <w:tblCellSpacing w:w="18" w:type="dxa"/>
              </w:trPr>
              <w:tc>
                <w:tcPr>
                  <w:tcW w:w="0" w:type="auto"/>
                  <w:shd w:val="clear" w:color="auto" w:fill="FFFFFF"/>
                  <w:tcMar>
                    <w:top w:w="225" w:type="dxa"/>
                    <w:left w:w="150" w:type="dxa"/>
                    <w:bottom w:w="150" w:type="dxa"/>
                    <w:right w:w="150" w:type="dxa"/>
                  </w:tcMar>
                  <w:vAlign w:val="center"/>
                  <w:hideMark/>
                </w:tcPr>
                <w:tbl>
                  <w:tblPr>
                    <w:tblW w:w="5000" w:type="pct"/>
                    <w:tblCellSpacing w:w="18" w:type="dxa"/>
                    <w:shd w:val="clear" w:color="auto" w:fill="FFFFFF"/>
                    <w:tblCellMar>
                      <w:left w:w="0" w:type="dxa"/>
                      <w:right w:w="0" w:type="dxa"/>
                    </w:tblCellMar>
                    <w:tblLook w:val="04A0" w:firstRow="1" w:lastRow="0" w:firstColumn="1" w:lastColumn="0" w:noHBand="0" w:noVBand="1"/>
                  </w:tblPr>
                  <w:tblGrid>
                    <w:gridCol w:w="8654"/>
                  </w:tblGrid>
                  <w:tr w:rsidR="00627FCA" w:rsidRPr="00627FCA" w14:paraId="226E5A76" w14:textId="77777777">
                    <w:trPr>
                      <w:tblCellSpacing w:w="18" w:type="dxa"/>
                    </w:trPr>
                    <w:tc>
                      <w:tcPr>
                        <w:tcW w:w="0" w:type="auto"/>
                        <w:shd w:val="clear" w:color="auto" w:fill="FFFFFF"/>
                        <w:tcMar>
                          <w:top w:w="225" w:type="dxa"/>
                          <w:left w:w="225" w:type="dxa"/>
                          <w:bottom w:w="225" w:type="dxa"/>
                          <w:right w:w="225" w:type="dxa"/>
                        </w:tcMar>
                        <w:vAlign w:val="center"/>
                        <w:hideMark/>
                      </w:tcPr>
                      <w:tbl>
                        <w:tblPr>
                          <w:tblW w:w="5000" w:type="pct"/>
                          <w:tblCellSpacing w:w="18" w:type="dxa"/>
                          <w:shd w:val="clear" w:color="auto" w:fill="FFFFFF"/>
                          <w:tblCellMar>
                            <w:left w:w="0" w:type="dxa"/>
                            <w:right w:w="0" w:type="dxa"/>
                          </w:tblCellMar>
                          <w:tblLook w:val="04A0" w:firstRow="1" w:lastRow="0" w:firstColumn="1" w:lastColumn="0" w:noHBand="0" w:noVBand="1"/>
                        </w:tblPr>
                        <w:tblGrid>
                          <w:gridCol w:w="8132"/>
                        </w:tblGrid>
                        <w:tr w:rsidR="00627FCA" w:rsidRPr="00627FCA" w14:paraId="6BD22A24" w14:textId="77777777">
                          <w:trPr>
                            <w:tblCellSpacing w:w="18" w:type="dxa"/>
                          </w:trPr>
                          <w:tc>
                            <w:tcPr>
                              <w:tcW w:w="0" w:type="auto"/>
                              <w:shd w:val="clear" w:color="auto" w:fill="FFFFFF"/>
                              <w:tcMar>
                                <w:top w:w="15" w:type="dxa"/>
                                <w:left w:w="15" w:type="dxa"/>
                                <w:bottom w:w="15" w:type="dxa"/>
                                <w:right w:w="15" w:type="dxa"/>
                              </w:tcMar>
                              <w:hideMark/>
                            </w:tcPr>
                            <w:p w14:paraId="66C38AFF" w14:textId="77777777" w:rsidR="00627FCA" w:rsidRPr="00627FCA" w:rsidRDefault="00627FCA" w:rsidP="00627FCA">
                              <w:r w:rsidRPr="00627FCA">
                                <w:t xml:space="preserve">Kia </w:t>
                              </w:r>
                              <w:proofErr w:type="spellStart"/>
                              <w:r w:rsidRPr="00627FCA">
                                <w:t>ora</w:t>
                              </w:r>
                              <w:proofErr w:type="spellEnd"/>
                              <w:r w:rsidRPr="00627FCA">
                                <w:t>,</w:t>
                              </w:r>
                              <w:r w:rsidRPr="00627FCA">
                                <w:br/>
                              </w:r>
                              <w:r w:rsidRPr="00627FCA">
                                <w:br/>
                                <w:t>Education New Zealand </w:t>
                              </w:r>
                              <w:proofErr w:type="spellStart"/>
                              <w:r w:rsidRPr="00627FCA">
                                <w:t>Manapou</w:t>
                              </w:r>
                              <w:proofErr w:type="spellEnd"/>
                              <w:r w:rsidRPr="00627FCA">
                                <w:t xml:space="preserve"> ki </w:t>
                              </w:r>
                              <w:proofErr w:type="spellStart"/>
                              <w:r w:rsidRPr="00627FCA">
                                <w:t>te</w:t>
                              </w:r>
                              <w:proofErr w:type="spellEnd"/>
                              <w:r w:rsidRPr="00627FCA">
                                <w:t xml:space="preserve"> Ao would like to request your participation in the 2024 Student Expenditure Survey. Your feedback is very important to us and will be used to help the New Zealand government and education sector understand the cost of living in New Zealand for international students like yourself. This will help us to improve the experience for international students studying with a New Zealand education provider.</w:t>
                              </w:r>
                              <w:r w:rsidRPr="00627FCA">
                                <w:br/>
                              </w:r>
                              <w:r w:rsidRPr="00627FCA">
                                <w:br/>
                                <w:t xml:space="preserve">As a thank you for completing this survey, Ipsos will enter you in the prize draw to </w:t>
                              </w:r>
                              <w:r w:rsidRPr="00627FCA">
                                <w:rPr>
                                  <w:b/>
                                  <w:bCs/>
                                </w:rPr>
                                <w:t>win a $2,000 Prezzy Card*.</w:t>
                              </w:r>
                              <w:r w:rsidRPr="00627FCA">
                                <w:br/>
                              </w:r>
                              <w:r w:rsidRPr="00627FCA">
                                <w:br/>
                                <w:t>The survey is being conducted by Ipsos, an independent research company, and it will take around 20 minutes to complete. The results are anonymous, unless you choose to give us your details. We also ask that you take the survey in one sitting if possible.</w:t>
                              </w:r>
                              <w:r w:rsidRPr="00627FCA">
                                <w:br/>
                              </w:r>
                              <w:r w:rsidRPr="00627FCA">
                                <w:br/>
                                <w:t xml:space="preserve">If you have a query that requires immediate action, please do not include in this survey. Participation in the survey is voluntary and will not impact your visa or visa status. </w:t>
                              </w:r>
                            </w:p>
                            <w:p w14:paraId="76B846DA" w14:textId="77777777" w:rsidR="00627FCA" w:rsidRPr="00627FCA" w:rsidRDefault="00627FCA" w:rsidP="00627FCA">
                              <w:r w:rsidRPr="00627FCA">
                                <w:t xml:space="preserve">  </w:t>
                              </w:r>
                            </w:p>
                            <w:tbl>
                              <w:tblPr>
                                <w:tblW w:w="5000" w:type="pct"/>
                                <w:tblCellSpacing w:w="18" w:type="dxa"/>
                                <w:shd w:val="clear" w:color="auto" w:fill="FFFFFF"/>
                                <w:tblCellMar>
                                  <w:left w:w="0" w:type="dxa"/>
                                  <w:right w:w="0" w:type="dxa"/>
                                </w:tblCellMar>
                                <w:tblLook w:val="04A0" w:firstRow="1" w:lastRow="0" w:firstColumn="1" w:lastColumn="0" w:noHBand="0" w:noVBand="1"/>
                              </w:tblPr>
                              <w:tblGrid>
                                <w:gridCol w:w="2814"/>
                                <w:gridCol w:w="2402"/>
                                <w:gridCol w:w="2814"/>
                              </w:tblGrid>
                              <w:tr w:rsidR="00627FCA" w:rsidRPr="00627FCA" w14:paraId="0CB64273" w14:textId="77777777">
                                <w:trPr>
                                  <w:tblCellSpacing w:w="18" w:type="dxa"/>
                                </w:trPr>
                                <w:tc>
                                  <w:tcPr>
                                    <w:tcW w:w="1750" w:type="pct"/>
                                    <w:shd w:val="clear" w:color="auto" w:fill="FFFFFF"/>
                                    <w:tcMar>
                                      <w:top w:w="15" w:type="dxa"/>
                                      <w:left w:w="15" w:type="dxa"/>
                                      <w:bottom w:w="15" w:type="dxa"/>
                                      <w:right w:w="15" w:type="dxa"/>
                                    </w:tcMar>
                                    <w:vAlign w:val="center"/>
                                    <w:hideMark/>
                                  </w:tcPr>
                                  <w:p w14:paraId="168320D2" w14:textId="77777777" w:rsidR="00627FCA" w:rsidRPr="00627FCA" w:rsidRDefault="00627FCA" w:rsidP="00627FCA">
                                    <w:r w:rsidRPr="00627FCA">
                                      <w:t> </w:t>
                                    </w:r>
                                  </w:p>
                                </w:tc>
                                <w:tc>
                                  <w:tcPr>
                                    <w:tcW w:w="0" w:type="auto"/>
                                    <w:shd w:val="clear" w:color="auto" w:fill="64C2C8"/>
                                    <w:tcMar>
                                      <w:top w:w="15" w:type="dxa"/>
                                      <w:left w:w="15" w:type="dxa"/>
                                      <w:bottom w:w="15" w:type="dxa"/>
                                      <w:right w:w="15" w:type="dxa"/>
                                    </w:tcMar>
                                    <w:vAlign w:val="center"/>
                                    <w:hideMark/>
                                  </w:tcPr>
                                  <w:p w14:paraId="3F8EC313" w14:textId="77777777" w:rsidR="00627FCA" w:rsidRPr="00627FCA" w:rsidRDefault="00627FCA" w:rsidP="00627FCA">
                                    <w:hyperlink r:id="rId5" w:tgtFrame="_blank" w:history="1">
                                      <w:r w:rsidRPr="00627FCA">
                                        <w:rPr>
                                          <w:rStyle w:val="Hyperlink"/>
                                        </w:rPr>
                                        <w:t>Begin Survey</w:t>
                                      </w:r>
                                    </w:hyperlink>
                                  </w:p>
                                </w:tc>
                                <w:tc>
                                  <w:tcPr>
                                    <w:tcW w:w="1750" w:type="pct"/>
                                    <w:shd w:val="clear" w:color="auto" w:fill="FFFFFF"/>
                                    <w:tcMar>
                                      <w:top w:w="15" w:type="dxa"/>
                                      <w:left w:w="15" w:type="dxa"/>
                                      <w:bottom w:w="15" w:type="dxa"/>
                                      <w:right w:w="15" w:type="dxa"/>
                                    </w:tcMar>
                                    <w:vAlign w:val="center"/>
                                    <w:hideMark/>
                                  </w:tcPr>
                                  <w:p w14:paraId="62DE7EE0" w14:textId="77777777" w:rsidR="00627FCA" w:rsidRPr="00627FCA" w:rsidRDefault="00627FCA" w:rsidP="00627FCA">
                                    <w:r w:rsidRPr="00627FCA">
                                      <w:t> </w:t>
                                    </w:r>
                                  </w:p>
                                </w:tc>
                              </w:tr>
                            </w:tbl>
                            <w:p w14:paraId="471FFEE8" w14:textId="77777777" w:rsidR="00627FCA" w:rsidRPr="00627FCA" w:rsidRDefault="00627FCA" w:rsidP="00627FCA">
                              <w:r w:rsidRPr="00627FCA">
                                <w:t>Thank you very much for your participation</w:t>
                              </w:r>
                            </w:p>
                            <w:p w14:paraId="3182EEE9" w14:textId="77777777" w:rsidR="00627FCA" w:rsidRPr="00627FCA" w:rsidRDefault="00627FCA" w:rsidP="00627FCA">
                              <w:hyperlink r:id="rId6" w:tgtFrame="_blank" w:history="1">
                                <w:proofErr w:type="spellStart"/>
                                <w:r w:rsidRPr="00627FCA">
                                  <w:rPr>
                                    <w:rStyle w:val="Hyperlink"/>
                                    <w:rFonts w:ascii="MS Gothic" w:eastAsia="MS Gothic" w:hAnsi="MS Gothic" w:cs="MS Gothic" w:hint="eastAsia"/>
                                  </w:rPr>
                                  <w:t>使用中文完成</w:t>
                                </w:r>
                                <w:r w:rsidRPr="00627FCA">
                                  <w:rPr>
                                    <w:rStyle w:val="Hyperlink"/>
                                    <w:rFonts w:ascii="Microsoft JhengHei" w:eastAsia="Microsoft JhengHei" w:hAnsi="Microsoft JhengHei" w:cs="Microsoft JhengHei" w:hint="eastAsia"/>
                                  </w:rPr>
                                  <w:t>调研</w:t>
                                </w:r>
                                <w:proofErr w:type="spellEnd"/>
                              </w:hyperlink>
                              <w:r w:rsidRPr="00627FCA">
                                <w:br/>
                              </w:r>
                              <w:hyperlink r:id="rId7" w:tgtFrame="_blank" w:history="1">
                                <w:proofErr w:type="spellStart"/>
                                <w:r w:rsidRPr="00627FCA">
                                  <w:rPr>
                                    <w:rStyle w:val="Hyperlink"/>
                                    <w:rFonts w:ascii="MS Gothic" w:eastAsia="MS Gothic" w:hAnsi="MS Gothic" w:cs="MS Gothic" w:hint="eastAsia"/>
                                  </w:rPr>
                                  <w:t>日本語でアンケートにご回答ください</w:t>
                                </w:r>
                                <w:proofErr w:type="spellEnd"/>
                              </w:hyperlink>
                              <w:r w:rsidRPr="00627FCA">
                                <w:br/>
                              </w:r>
                              <w:hyperlink r:id="rId8" w:tgtFrame="_blank" w:history="1">
                                <w:proofErr w:type="spellStart"/>
                                <w:r w:rsidRPr="00627FCA">
                                  <w:rPr>
                                    <w:rStyle w:val="Hyperlink"/>
                                    <w:rFonts w:ascii="Malgun Gothic" w:eastAsia="Malgun Gothic" w:hAnsi="Malgun Gothic" w:cs="Malgun Gothic" w:hint="eastAsia"/>
                                  </w:rPr>
                                  <w:t>한국어로</w:t>
                                </w:r>
                                <w:proofErr w:type="spellEnd"/>
                                <w:r w:rsidRPr="00627FCA">
                                  <w:rPr>
                                    <w:rStyle w:val="Hyperlink"/>
                                  </w:rPr>
                                  <w:t xml:space="preserve"> </w:t>
                                </w:r>
                                <w:proofErr w:type="spellStart"/>
                                <w:r w:rsidRPr="00627FCA">
                                  <w:rPr>
                                    <w:rStyle w:val="Hyperlink"/>
                                    <w:rFonts w:ascii="Malgun Gothic" w:eastAsia="Malgun Gothic" w:hAnsi="Malgun Gothic" w:cs="Malgun Gothic" w:hint="eastAsia"/>
                                  </w:rPr>
                                  <w:t>설문</w:t>
                                </w:r>
                                <w:proofErr w:type="spellEnd"/>
                                <w:r w:rsidRPr="00627FCA">
                                  <w:rPr>
                                    <w:rStyle w:val="Hyperlink"/>
                                  </w:rPr>
                                  <w:t xml:space="preserve"> </w:t>
                                </w:r>
                                <w:proofErr w:type="spellStart"/>
                                <w:r w:rsidRPr="00627FCA">
                                  <w:rPr>
                                    <w:rStyle w:val="Hyperlink"/>
                                    <w:rFonts w:ascii="Malgun Gothic" w:eastAsia="Malgun Gothic" w:hAnsi="Malgun Gothic" w:cs="Malgun Gothic" w:hint="eastAsia"/>
                                  </w:rPr>
                                  <w:t>조사를</w:t>
                                </w:r>
                                <w:proofErr w:type="spellEnd"/>
                                <w:r w:rsidRPr="00627FCA">
                                  <w:rPr>
                                    <w:rStyle w:val="Hyperlink"/>
                                  </w:rPr>
                                  <w:t xml:space="preserve"> </w:t>
                                </w:r>
                                <w:proofErr w:type="spellStart"/>
                                <w:r w:rsidRPr="00627FCA">
                                  <w:rPr>
                                    <w:rStyle w:val="Hyperlink"/>
                                    <w:rFonts w:ascii="Malgun Gothic" w:eastAsia="Malgun Gothic" w:hAnsi="Malgun Gothic" w:cs="Malgun Gothic" w:hint="eastAsia"/>
                                  </w:rPr>
                                  <w:t>완료하십시오</w:t>
                                </w:r>
                                <w:proofErr w:type="spellEnd"/>
                                <w:r w:rsidRPr="00627FCA">
                                  <w:rPr>
                                    <w:rStyle w:val="Hyperlink"/>
                                  </w:rPr>
                                  <w:t>.</w:t>
                                </w:r>
                              </w:hyperlink>
                              <w:r w:rsidRPr="00627FCA">
                                <w:br/>
                                <w:t> </w:t>
                              </w:r>
                            </w:p>
                            <w:tbl>
                              <w:tblPr>
                                <w:tblW w:w="0" w:type="auto"/>
                                <w:tblCellSpacing w:w="18" w:type="dxa"/>
                                <w:tblCellMar>
                                  <w:left w:w="0" w:type="dxa"/>
                                  <w:right w:w="0" w:type="dxa"/>
                                </w:tblCellMar>
                                <w:tblLook w:val="04A0" w:firstRow="1" w:lastRow="0" w:firstColumn="1" w:lastColumn="0" w:noHBand="0" w:noVBand="1"/>
                              </w:tblPr>
                              <w:tblGrid>
                                <w:gridCol w:w="108"/>
                              </w:tblGrid>
                              <w:tr w:rsidR="00627FCA" w:rsidRPr="00627FCA" w14:paraId="2DC11C78" w14:textId="77777777">
                                <w:trPr>
                                  <w:tblCellSpacing w:w="18" w:type="dxa"/>
                                </w:trPr>
                                <w:tc>
                                  <w:tcPr>
                                    <w:tcW w:w="0" w:type="auto"/>
                                    <w:tcMar>
                                      <w:top w:w="15" w:type="dxa"/>
                                      <w:left w:w="15" w:type="dxa"/>
                                      <w:bottom w:w="15" w:type="dxa"/>
                                      <w:right w:w="15" w:type="dxa"/>
                                    </w:tcMar>
                                    <w:vAlign w:val="center"/>
                                    <w:hideMark/>
                                  </w:tcPr>
                                  <w:p w14:paraId="07143850" w14:textId="77777777" w:rsidR="00627FCA" w:rsidRPr="00627FCA" w:rsidRDefault="00627FCA" w:rsidP="00627FCA"/>
                                </w:tc>
                              </w:tr>
                            </w:tbl>
                            <w:p w14:paraId="646E0567" w14:textId="77777777" w:rsidR="00627FCA" w:rsidRPr="00627FCA" w:rsidRDefault="00627FCA" w:rsidP="00627FCA"/>
                          </w:tc>
                        </w:tr>
                        <w:tr w:rsidR="00627FCA" w:rsidRPr="00627FCA" w14:paraId="4EBB95AA" w14:textId="77777777">
                          <w:trPr>
                            <w:tblCellSpacing w:w="18" w:type="dxa"/>
                          </w:trPr>
                          <w:tc>
                            <w:tcPr>
                              <w:tcW w:w="0" w:type="auto"/>
                              <w:shd w:val="clear" w:color="auto" w:fill="DDDDDD"/>
                              <w:tcMar>
                                <w:top w:w="225" w:type="dxa"/>
                                <w:left w:w="225" w:type="dxa"/>
                                <w:bottom w:w="225" w:type="dxa"/>
                                <w:right w:w="225" w:type="dxa"/>
                              </w:tcMar>
                              <w:hideMark/>
                            </w:tcPr>
                            <w:p w14:paraId="78A78C3A" w14:textId="77777777" w:rsidR="00627FCA" w:rsidRPr="00627FCA" w:rsidRDefault="00627FCA" w:rsidP="00627FCA">
                              <w:pPr>
                                <w:rPr>
                                  <w:b/>
                                  <w:bCs/>
                                </w:rPr>
                              </w:pPr>
                              <w:r w:rsidRPr="00627FCA">
                                <w:rPr>
                                  <w:b/>
                                  <w:bCs/>
                                </w:rPr>
                                <w:t>You are receiving this email because you have been randomly selected from a list of people who are in New Zealand studying or have recently been studying.</w:t>
                              </w:r>
                              <w:r w:rsidRPr="00627FCA">
                                <w:rPr>
                                  <w:b/>
                                  <w:bCs/>
                                </w:rPr>
                                <w:br/>
                              </w:r>
                              <w:r w:rsidRPr="00627FCA">
                                <w:rPr>
                                  <w:b/>
                                  <w:bCs/>
                                </w:rPr>
                                <w:br/>
                                <w:t xml:space="preserve">Participation in the survey is voluntary and will not impact your visa or visa </w:t>
                              </w:r>
                              <w:r w:rsidRPr="00627FCA">
                                <w:rPr>
                                  <w:b/>
                                  <w:bCs/>
                                </w:rPr>
                                <w:lastRenderedPageBreak/>
                                <w:t xml:space="preserve">status </w:t>
                              </w:r>
                              <w:r w:rsidRPr="00627FCA">
                                <w:rPr>
                                  <w:b/>
                                  <w:bCs/>
                                </w:rPr>
                                <w:br/>
                                <w:t>Responses are kept anonymous (no names will appear in the final report)</w:t>
                              </w:r>
                              <w:r w:rsidRPr="00627FCA">
                                <w:rPr>
                                  <w:b/>
                                  <w:bCs/>
                                </w:rPr>
                                <w:br/>
                              </w:r>
                              <w:r w:rsidRPr="00627FCA">
                                <w:rPr>
                                  <w:b/>
                                  <w:bCs/>
                                </w:rPr>
                                <w:br/>
                                <w:t xml:space="preserve">*Prezzy Cards can be used at millions of places that accept Visa or Mastercard, online and in-store. Prize draw terms and conditions are available </w:t>
                              </w:r>
                              <w:hyperlink r:id="rId9" w:tgtFrame="_blank" w:history="1">
                                <w:r w:rsidRPr="00627FCA">
                                  <w:rPr>
                                    <w:rStyle w:val="Hyperlink"/>
                                    <w:b/>
                                    <w:bCs/>
                                  </w:rPr>
                                  <w:t>here</w:t>
                                </w:r>
                              </w:hyperlink>
                              <w:r w:rsidRPr="00627FCA">
                                <w:rPr>
                                  <w:b/>
                                  <w:bCs/>
                                </w:rPr>
                                <w:t>.</w:t>
                              </w:r>
                              <w:r w:rsidRPr="00627FCA">
                                <w:rPr>
                                  <w:b/>
                                  <w:bCs/>
                                </w:rPr>
                                <w:br/>
                              </w:r>
                              <w:r w:rsidRPr="00627FCA">
                                <w:rPr>
                                  <w:b/>
                                  <w:bCs/>
                                </w:rPr>
                                <w:br/>
                                <w:t xml:space="preserve">If the button above doesn't work, simply copy and paste this link into your web browser: </w:t>
                              </w:r>
                              <w:hyperlink r:id="rId10" w:tgtFrame="_blank" w:history="1">
                                <w:r w:rsidRPr="00627FCA">
                                  <w:rPr>
                                    <w:rStyle w:val="Hyperlink"/>
                                    <w:b/>
                                    <w:bCs/>
                                  </w:rPr>
                                  <w:t>https://educationnz.qualtrics.com/jfe/form/SV_71YUoS9j2RK0Hae?PBID=SI184Y4&amp;Q_Language=EN&amp;DC=IN</w:t>
                                </w:r>
                              </w:hyperlink>
                              <w:r w:rsidRPr="00627FCA">
                                <w:rPr>
                                  <w:b/>
                                  <w:bCs/>
                                </w:rPr>
                                <w:br/>
                              </w:r>
                              <w:r w:rsidRPr="00627FCA">
                                <w:rPr>
                                  <w:b/>
                                  <w:bCs/>
                                </w:rPr>
                                <w:br/>
                                <w:t xml:space="preserve">Please do not respond to this email, this survey is being conducted by Ipsos, an independent research company. If you have any questions about the </w:t>
                              </w:r>
                              <w:proofErr w:type="gramStart"/>
                              <w:r w:rsidRPr="00627FCA">
                                <w:rPr>
                                  <w:b/>
                                  <w:bCs/>
                                </w:rPr>
                                <w:t>survey</w:t>
                              </w:r>
                              <w:proofErr w:type="gramEnd"/>
                              <w:r w:rsidRPr="00627FCA">
                                <w:rPr>
                                  <w:b/>
                                  <w:bCs/>
                                </w:rPr>
                                <w:t xml:space="preserve"> you can email </w:t>
                              </w:r>
                              <w:hyperlink r:id="rId11" w:history="1">
                                <w:r w:rsidRPr="00627FCA">
                                  <w:rPr>
                                    <w:rStyle w:val="Hyperlink"/>
                                    <w:b/>
                                    <w:bCs/>
                                  </w:rPr>
                                  <w:t>insights@enz.govt.nz</w:t>
                                </w:r>
                              </w:hyperlink>
                              <w:r w:rsidRPr="00627FCA">
                                <w:rPr>
                                  <w:b/>
                                  <w:bCs/>
                                </w:rPr>
                                <w:br/>
                              </w:r>
                              <w:r w:rsidRPr="00627FCA">
                                <w:rPr>
                                  <w:b/>
                                  <w:bCs/>
                                </w:rPr>
                                <w:br/>
                                <w:t xml:space="preserve">Education New Zealand is committed to protecting your personal information. If you would like to know more about how we collect, use and protect your information see Education New Zealand's </w:t>
                              </w:r>
                              <w:hyperlink r:id="rId12" w:tgtFrame="_blank" w:history="1">
                                <w:r w:rsidRPr="00627FCA">
                                  <w:rPr>
                                    <w:rStyle w:val="Hyperlink"/>
                                    <w:b/>
                                    <w:bCs/>
                                  </w:rPr>
                                  <w:t>Privacy Policy</w:t>
                                </w:r>
                              </w:hyperlink>
                              <w:r w:rsidRPr="00627FCA">
                                <w:rPr>
                                  <w:b/>
                                  <w:bCs/>
                                </w:rPr>
                                <w:br/>
                              </w:r>
                              <w:r w:rsidRPr="00627FCA">
                                <w:rPr>
                                  <w:b/>
                                  <w:bCs/>
                                </w:rPr>
                                <w:br/>
                                <w:t>PLEASE NOTE: This email does not include immigration or visa advice. For questions about your visa either visit our website or call Immigration New Zealand on 0508 558 855 - or talk to any licensed immigration adviser or immigration lawyer</w:t>
                              </w:r>
                            </w:p>
                          </w:tc>
                        </w:tr>
                      </w:tbl>
                      <w:p w14:paraId="0D6979B2" w14:textId="77777777" w:rsidR="00627FCA" w:rsidRPr="00627FCA" w:rsidRDefault="00627FCA" w:rsidP="00627FCA"/>
                    </w:tc>
                  </w:tr>
                </w:tbl>
                <w:p w14:paraId="7E912E90" w14:textId="77777777" w:rsidR="00627FCA" w:rsidRPr="00627FCA" w:rsidRDefault="00627FCA" w:rsidP="00627FCA"/>
              </w:tc>
            </w:tr>
          </w:tbl>
          <w:p w14:paraId="7BAF43B2" w14:textId="77777777" w:rsidR="00627FCA" w:rsidRPr="00627FCA" w:rsidRDefault="00627FCA" w:rsidP="00627FCA"/>
        </w:tc>
      </w:tr>
    </w:tbl>
    <w:p w14:paraId="534DBCAE" w14:textId="77777777" w:rsidR="0097410A" w:rsidRDefault="0097410A"/>
    <w:sectPr w:rsidR="00974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14"/>
    <w:rsid w:val="000244BF"/>
    <w:rsid w:val="002A72D3"/>
    <w:rsid w:val="00367B48"/>
    <w:rsid w:val="004B5314"/>
    <w:rsid w:val="00627FCA"/>
    <w:rsid w:val="0097410A"/>
    <w:rsid w:val="00BC2B0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5BB1"/>
  <w15:chartTrackingRefBased/>
  <w15:docId w15:val="{0F360CE3-760C-4B65-8C74-00F4F28A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3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3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3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314"/>
    <w:rPr>
      <w:rFonts w:eastAsiaTheme="majorEastAsia" w:cstheme="majorBidi"/>
      <w:color w:val="272727" w:themeColor="text1" w:themeTint="D8"/>
    </w:rPr>
  </w:style>
  <w:style w:type="paragraph" w:styleId="Title">
    <w:name w:val="Title"/>
    <w:basedOn w:val="Normal"/>
    <w:next w:val="Normal"/>
    <w:link w:val="TitleChar"/>
    <w:uiPriority w:val="10"/>
    <w:qFormat/>
    <w:rsid w:val="004B5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314"/>
    <w:pPr>
      <w:spacing w:before="160"/>
      <w:jc w:val="center"/>
    </w:pPr>
    <w:rPr>
      <w:i/>
      <w:iCs/>
      <w:color w:val="404040" w:themeColor="text1" w:themeTint="BF"/>
    </w:rPr>
  </w:style>
  <w:style w:type="character" w:customStyle="1" w:styleId="QuoteChar">
    <w:name w:val="Quote Char"/>
    <w:basedOn w:val="DefaultParagraphFont"/>
    <w:link w:val="Quote"/>
    <w:uiPriority w:val="29"/>
    <w:rsid w:val="004B5314"/>
    <w:rPr>
      <w:i/>
      <w:iCs/>
      <w:color w:val="404040" w:themeColor="text1" w:themeTint="BF"/>
    </w:rPr>
  </w:style>
  <w:style w:type="paragraph" w:styleId="ListParagraph">
    <w:name w:val="List Paragraph"/>
    <w:basedOn w:val="Normal"/>
    <w:uiPriority w:val="34"/>
    <w:qFormat/>
    <w:rsid w:val="004B5314"/>
    <w:pPr>
      <w:ind w:left="720"/>
      <w:contextualSpacing/>
    </w:pPr>
  </w:style>
  <w:style w:type="character" w:styleId="IntenseEmphasis">
    <w:name w:val="Intense Emphasis"/>
    <w:basedOn w:val="DefaultParagraphFont"/>
    <w:uiPriority w:val="21"/>
    <w:qFormat/>
    <w:rsid w:val="004B5314"/>
    <w:rPr>
      <w:i/>
      <w:iCs/>
      <w:color w:val="0F4761" w:themeColor="accent1" w:themeShade="BF"/>
    </w:rPr>
  </w:style>
  <w:style w:type="paragraph" w:styleId="IntenseQuote">
    <w:name w:val="Intense Quote"/>
    <w:basedOn w:val="Normal"/>
    <w:next w:val="Normal"/>
    <w:link w:val="IntenseQuoteChar"/>
    <w:uiPriority w:val="30"/>
    <w:qFormat/>
    <w:rsid w:val="004B5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314"/>
    <w:rPr>
      <w:i/>
      <w:iCs/>
      <w:color w:val="0F4761" w:themeColor="accent1" w:themeShade="BF"/>
    </w:rPr>
  </w:style>
  <w:style w:type="character" w:styleId="IntenseReference">
    <w:name w:val="Intense Reference"/>
    <w:basedOn w:val="DefaultParagraphFont"/>
    <w:uiPriority w:val="32"/>
    <w:qFormat/>
    <w:rsid w:val="004B5314"/>
    <w:rPr>
      <w:b/>
      <w:bCs/>
      <w:smallCaps/>
      <w:color w:val="0F4761" w:themeColor="accent1" w:themeShade="BF"/>
      <w:spacing w:val="5"/>
    </w:rPr>
  </w:style>
  <w:style w:type="character" w:styleId="Hyperlink">
    <w:name w:val="Hyperlink"/>
    <w:basedOn w:val="DefaultParagraphFont"/>
    <w:uiPriority w:val="99"/>
    <w:unhideWhenUsed/>
    <w:rsid w:val="00627FCA"/>
    <w:rPr>
      <w:color w:val="467886" w:themeColor="hyperlink"/>
      <w:u w:val="single"/>
    </w:rPr>
  </w:style>
  <w:style w:type="character" w:styleId="UnresolvedMention">
    <w:name w:val="Unresolved Mention"/>
    <w:basedOn w:val="DefaultParagraphFont"/>
    <w:uiPriority w:val="99"/>
    <w:semiHidden/>
    <w:unhideWhenUsed/>
    <w:rsid w:val="00627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4462">
      <w:bodyDiv w:val="1"/>
      <w:marLeft w:val="0"/>
      <w:marRight w:val="0"/>
      <w:marTop w:val="0"/>
      <w:marBottom w:val="0"/>
      <w:divBdr>
        <w:top w:val="none" w:sz="0" w:space="0" w:color="auto"/>
        <w:left w:val="none" w:sz="0" w:space="0" w:color="auto"/>
        <w:bottom w:val="none" w:sz="0" w:space="0" w:color="auto"/>
        <w:right w:val="none" w:sz="0" w:space="0" w:color="auto"/>
      </w:divBdr>
    </w:div>
    <w:div w:id="11995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educationnz.qualtrics.com/jfe/form/SV_71YUoS9j2RK0Hae?PBID=NO184Y4&amp;Q_Language=KO&amp;DC=IN__;!!HEtReXZgYQ!X7S_J5pBdwBSz5mydKvyvqXWw7C5v_HSxNAH_DOY0hjX2tmZZW9l078vzkx9dKGM3ZW2JfUvK4ghifXZtz26D3TiujH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defense.com/v3/__https:/educationnz.qualtrics.com/jfe/form/SV_71YUoS9j2RK0Hae?PBID=NO184Y4&amp;Q_Language=JA&amp;DC=IN__;!!HEtReXZgYQ!X7S_J5pBdwBSz5mydKvyvqXWw7C5v_HSxNAH_DOY0hjX2tmZZW9l078vzkx9dKGM3ZW2JfUvK4ghifXZtz26D0IXTIXn$" TargetMode="External"/><Relationship Id="rId12" Type="http://schemas.openxmlformats.org/officeDocument/2006/relationships/hyperlink" Target="https://urldefense.com/v3/__https:/www.studywithnewzealand.govt.nz/en/privacy-policy__;!!HEtReXZgYQ!X7S_J5pBdwBSz5mydKvyvqXWw7C5v_HSxNAH_DOY0hjX2tmZZW9l078vzkx9dKGM3ZW2JfUvK4ghifXZtz26D6u36w_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educationnz.qualtrics.com/jfe/form/SV_71YUoS9j2RK0Hae?PBID=NO184Y4&amp;Q_Language=ZH-S&amp;DC=IN__;!!HEtReXZgYQ!X7S_J5pBdwBSz5mydKvyvqXWw7C5v_HSxNAH_DOY0hjX2tmZZW9l078vzkx9dKGM3ZW2JfUvK4ghifXZtz26DyyGNfX7$" TargetMode="External"/><Relationship Id="rId11" Type="http://schemas.openxmlformats.org/officeDocument/2006/relationships/hyperlink" Target="mailto:insights@enz.govt.nz" TargetMode="External"/><Relationship Id="rId5" Type="http://schemas.openxmlformats.org/officeDocument/2006/relationships/hyperlink" Target="https://urldefense.com/v3/__https:/educationnz.qualtrics.com/jfe/form/SV_71YUoS9j2RK0Hae?PBID=NO184Y4&amp;Q_Language=EN&amp;DC=IN__;!!HEtReXZgYQ!X7S_J5pBdwBSz5mydKvyvqXWw7C5v_HSxNAH_DOY0hjX2tmZZW9l078vzkx9dKGM3ZW2JfUvK4ghifXZtz26D1QazGxF$" TargetMode="External"/><Relationship Id="rId10" Type="http://schemas.openxmlformats.org/officeDocument/2006/relationships/hyperlink" Target="https://urldefense.com/v3/__https:/educationnz.qualtrics.com/jfe/form/SV_71YUoS9j2RK0Hae?PBID=SI184Y4&amp;Q_Language=EN&amp;DC=IN__;!!HEtReXZgYQ!X7S_J5pBdwBSz5mydKvyvqXWw7C5v_HSxNAH_DOY0hjX2tmZZW9l078vzkx9dKGM3ZW2JfUvK4ghifXZtz26D450r_CW$" TargetMode="External"/><Relationship Id="rId4" Type="http://schemas.openxmlformats.org/officeDocument/2006/relationships/image" Target="media/image1.png"/><Relationship Id="rId9" Type="http://schemas.openxmlformats.org/officeDocument/2006/relationships/hyperlink" Target="https://www.ipsos.com/en-nz/enz-s-t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Stephenson</dc:creator>
  <cp:keywords/>
  <dc:description/>
  <cp:lastModifiedBy>Simon Stephenson</cp:lastModifiedBy>
  <cp:revision>2</cp:revision>
  <dcterms:created xsi:type="dcterms:W3CDTF">2024-10-20T21:54:00Z</dcterms:created>
  <dcterms:modified xsi:type="dcterms:W3CDTF">2024-10-20T21:55:00Z</dcterms:modified>
</cp:coreProperties>
</file>