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4DE54" w14:textId="77777777" w:rsidR="0026541A" w:rsidRPr="00E83DFF" w:rsidRDefault="00351FCC">
      <w:pPr>
        <w:pStyle w:val="Heading1"/>
        <w:rPr>
          <w:sz w:val="36"/>
          <w:szCs w:val="36"/>
        </w:rPr>
      </w:pPr>
      <w:r w:rsidRPr="00E83DFF">
        <w:rPr>
          <w:sz w:val="36"/>
          <w:szCs w:val="36"/>
        </w:rPr>
        <w:t>School Cyber Security – Board Governance Question Sheet</w:t>
      </w:r>
    </w:p>
    <w:p w14:paraId="4E5B302C" w14:textId="77777777" w:rsidR="00E83DFF" w:rsidRDefault="00E83DFF">
      <w:pPr>
        <w:rPr>
          <w:b/>
        </w:rPr>
      </w:pPr>
    </w:p>
    <w:p w14:paraId="61321BAC" w14:textId="440A556F" w:rsidR="0026541A" w:rsidRDefault="00351FCC">
      <w:r>
        <w:rPr>
          <w:b/>
        </w:rPr>
        <w:t>Purpose</w:t>
      </w:r>
      <w:r>
        <w:rPr>
          <w:b/>
        </w:rPr>
        <w:br/>
      </w:r>
      <w:r>
        <w:t>Most New Zealand schools already have a formal cyber security policy in place</w:t>
      </w:r>
      <w:r w:rsidR="00512FF6">
        <w:t xml:space="preserve">.  </w:t>
      </w:r>
      <w:r>
        <w:t>This question sheet complements those policies by providing boards with assurance that cyber security risks are understood and managed in practice.</w:t>
      </w:r>
      <w:r w:rsidR="00512FF6">
        <w:t xml:space="preserve">  </w:t>
      </w:r>
      <w:r>
        <w:t>School leadership or management should complete the school response section and provide this document to the board for discussion.</w:t>
      </w:r>
      <w:r>
        <w:br/>
      </w:r>
      <w:r>
        <w:br/>
        <w:t>Board note: If any question cannot be answered confidently, this is a signal for further work — not a failure.</w:t>
      </w:r>
    </w:p>
    <w:tbl>
      <w:tblPr>
        <w:tblStyle w:val="TableGrid"/>
        <w:tblW w:w="13575" w:type="dxa"/>
        <w:tblLook w:val="04A0" w:firstRow="1" w:lastRow="0" w:firstColumn="1" w:lastColumn="0" w:noHBand="0" w:noVBand="1"/>
      </w:tblPr>
      <w:tblGrid>
        <w:gridCol w:w="675"/>
        <w:gridCol w:w="2781"/>
        <w:gridCol w:w="4023"/>
        <w:gridCol w:w="6096"/>
      </w:tblGrid>
      <w:tr w:rsidR="004F2147" w14:paraId="1FEF31EB" w14:textId="77777777" w:rsidTr="004F2147">
        <w:tc>
          <w:tcPr>
            <w:tcW w:w="675" w:type="dxa"/>
            <w:shd w:val="clear" w:color="auto" w:fill="1F497D" w:themeFill="text2"/>
          </w:tcPr>
          <w:p w14:paraId="5A5C898C" w14:textId="77777777" w:rsidR="004F2147" w:rsidRPr="004F2147" w:rsidRDefault="004F2147">
            <w:pPr>
              <w:rPr>
                <w:b/>
                <w:bCs/>
                <w:color w:val="FFFFFF" w:themeColor="background1"/>
              </w:rPr>
            </w:pPr>
            <w:r w:rsidRPr="004F2147">
              <w:rPr>
                <w:b/>
                <w:bCs/>
                <w:color w:val="FFFFFF" w:themeColor="background1"/>
              </w:rPr>
              <w:t>Q#</w:t>
            </w:r>
          </w:p>
        </w:tc>
        <w:tc>
          <w:tcPr>
            <w:tcW w:w="2781" w:type="dxa"/>
            <w:shd w:val="clear" w:color="auto" w:fill="1F497D" w:themeFill="text2"/>
          </w:tcPr>
          <w:p w14:paraId="2B15A790" w14:textId="77777777" w:rsidR="004F2147" w:rsidRPr="004F2147" w:rsidRDefault="004F2147">
            <w:pPr>
              <w:rPr>
                <w:b/>
                <w:bCs/>
                <w:color w:val="FFFFFF" w:themeColor="background1"/>
              </w:rPr>
            </w:pPr>
            <w:r w:rsidRPr="004F2147">
              <w:rPr>
                <w:b/>
                <w:bCs/>
                <w:color w:val="FFFFFF" w:themeColor="background1"/>
              </w:rPr>
              <w:t>Board Question</w:t>
            </w:r>
          </w:p>
        </w:tc>
        <w:tc>
          <w:tcPr>
            <w:tcW w:w="4023" w:type="dxa"/>
            <w:shd w:val="clear" w:color="auto" w:fill="1F497D" w:themeFill="text2"/>
          </w:tcPr>
          <w:p w14:paraId="78CA01C5" w14:textId="04346B06" w:rsidR="004F2147" w:rsidRPr="004F2147" w:rsidRDefault="004F2147">
            <w:pPr>
              <w:rPr>
                <w:b/>
                <w:bCs/>
                <w:color w:val="FFFFFF" w:themeColor="background1"/>
              </w:rPr>
            </w:pPr>
            <w:r w:rsidRPr="004F2147">
              <w:rPr>
                <w:b/>
                <w:bCs/>
                <w:color w:val="FFFFFF" w:themeColor="background1"/>
              </w:rPr>
              <w:t xml:space="preserve">Model Example Response (for guidance and DELETE as needed) </w:t>
            </w:r>
          </w:p>
        </w:tc>
        <w:tc>
          <w:tcPr>
            <w:tcW w:w="6096" w:type="dxa"/>
            <w:shd w:val="clear" w:color="auto" w:fill="1F497D" w:themeFill="text2"/>
          </w:tcPr>
          <w:p w14:paraId="78B2E730" w14:textId="5DC6EDC1" w:rsidR="004F2147" w:rsidRPr="004F2147" w:rsidRDefault="004F2147">
            <w:pPr>
              <w:rPr>
                <w:b/>
                <w:bCs/>
                <w:color w:val="FFFFFF" w:themeColor="background1"/>
              </w:rPr>
            </w:pPr>
            <w:r w:rsidRPr="004F2147">
              <w:rPr>
                <w:b/>
                <w:bCs/>
                <w:color w:val="FFFFFF" w:themeColor="background1"/>
              </w:rPr>
              <w:t>School Response</w:t>
            </w:r>
            <w:r w:rsidRPr="004F2147">
              <w:rPr>
                <w:b/>
                <w:bCs/>
                <w:color w:val="FFFFFF" w:themeColor="background1"/>
              </w:rPr>
              <w:br/>
              <w:t xml:space="preserve">(School to add response) </w:t>
            </w:r>
          </w:p>
        </w:tc>
      </w:tr>
      <w:tr w:rsidR="004F2147" w14:paraId="18DDF0AD" w14:textId="77777777" w:rsidTr="004F2147">
        <w:tc>
          <w:tcPr>
            <w:tcW w:w="675" w:type="dxa"/>
          </w:tcPr>
          <w:p w14:paraId="365AC111" w14:textId="77777777" w:rsidR="004F2147" w:rsidRDefault="004F2147">
            <w:r>
              <w:t>1</w:t>
            </w:r>
          </w:p>
        </w:tc>
        <w:tc>
          <w:tcPr>
            <w:tcW w:w="2781" w:type="dxa"/>
          </w:tcPr>
          <w:p w14:paraId="52AD7899" w14:textId="77777777" w:rsidR="004F2147" w:rsidRDefault="004F2147">
            <w:r>
              <w:t>What are our most likely cyber risk scenarios, and what would the impact be?</w:t>
            </w:r>
          </w:p>
        </w:tc>
        <w:tc>
          <w:tcPr>
            <w:tcW w:w="4023" w:type="dxa"/>
          </w:tcPr>
          <w:p w14:paraId="63F87419" w14:textId="77777777" w:rsidR="004F2147" w:rsidRDefault="004F2147">
            <w:r>
              <w:t>Our most likely cyber risks are phishing and account compromise, ransomware or system outages, and third-party supplier breaches. Impacts could include disruption to learning and communications, temporary loss of system access, exposure of personal information, and reputational damage. These risks are recorded in the school risk register and reviewed annually.</w:t>
            </w:r>
          </w:p>
        </w:tc>
        <w:tc>
          <w:tcPr>
            <w:tcW w:w="6096" w:type="dxa"/>
          </w:tcPr>
          <w:p w14:paraId="4D8AE036" w14:textId="77777777" w:rsidR="004F2147" w:rsidRDefault="004F2147"/>
        </w:tc>
      </w:tr>
      <w:tr w:rsidR="004F2147" w14:paraId="56A97F9F" w14:textId="77777777" w:rsidTr="004F2147">
        <w:tc>
          <w:tcPr>
            <w:tcW w:w="675" w:type="dxa"/>
          </w:tcPr>
          <w:p w14:paraId="1566DBB7" w14:textId="77777777" w:rsidR="004F2147" w:rsidRDefault="004F2147">
            <w:r>
              <w:t>2</w:t>
            </w:r>
          </w:p>
        </w:tc>
        <w:tc>
          <w:tcPr>
            <w:tcW w:w="2781" w:type="dxa"/>
          </w:tcPr>
          <w:p w14:paraId="2607BE2B" w14:textId="77777777" w:rsidR="004F2147" w:rsidRDefault="004F2147">
            <w:r>
              <w:t>Do staff and administrators use strong authentication, such as multi-factor authentication (MFA)?</w:t>
            </w:r>
          </w:p>
        </w:tc>
        <w:tc>
          <w:tcPr>
            <w:tcW w:w="4023" w:type="dxa"/>
          </w:tcPr>
          <w:p w14:paraId="1217446D" w14:textId="77777777" w:rsidR="004F2147" w:rsidRDefault="004F2147">
            <w:r>
              <w:t>Yes. Multi-factor authentication is enforced for email, cloud services, and all administrative or privileged accounts. Staff are supported with guidance on strong passwords and phishing awareness.</w:t>
            </w:r>
          </w:p>
        </w:tc>
        <w:tc>
          <w:tcPr>
            <w:tcW w:w="6096" w:type="dxa"/>
          </w:tcPr>
          <w:p w14:paraId="21A8C40B" w14:textId="77777777" w:rsidR="004F2147" w:rsidRDefault="004F2147"/>
        </w:tc>
      </w:tr>
      <w:tr w:rsidR="004F2147" w14:paraId="5B0C3092" w14:textId="77777777" w:rsidTr="004F2147">
        <w:tc>
          <w:tcPr>
            <w:tcW w:w="675" w:type="dxa"/>
          </w:tcPr>
          <w:p w14:paraId="3F91E7D4" w14:textId="77777777" w:rsidR="004F2147" w:rsidRDefault="004F2147">
            <w:r>
              <w:t>3</w:t>
            </w:r>
          </w:p>
        </w:tc>
        <w:tc>
          <w:tcPr>
            <w:tcW w:w="2781" w:type="dxa"/>
          </w:tcPr>
          <w:p w14:paraId="5B778D86" w14:textId="77777777" w:rsidR="004F2147" w:rsidRDefault="004F2147">
            <w:r>
              <w:t>Are backups in place, tested, and recoverable within an acceptable timeframe?</w:t>
            </w:r>
          </w:p>
        </w:tc>
        <w:tc>
          <w:tcPr>
            <w:tcW w:w="4023" w:type="dxa"/>
          </w:tcPr>
          <w:p w14:paraId="147D41E5" w14:textId="77777777" w:rsidR="004F2147" w:rsidRDefault="004F2147">
            <w:r>
              <w:t>Yes. Critical systems and data are backed up regularly, stored securely, and tested periodically. Recovery timeframes are defined and align with the school’s tolerance for disruption.</w:t>
            </w:r>
          </w:p>
        </w:tc>
        <w:tc>
          <w:tcPr>
            <w:tcW w:w="6096" w:type="dxa"/>
          </w:tcPr>
          <w:p w14:paraId="2455BD78" w14:textId="77777777" w:rsidR="004F2147" w:rsidRDefault="004F2147"/>
        </w:tc>
      </w:tr>
      <w:tr w:rsidR="004F2147" w14:paraId="3540CA69" w14:textId="77777777" w:rsidTr="004F2147">
        <w:tc>
          <w:tcPr>
            <w:tcW w:w="675" w:type="dxa"/>
          </w:tcPr>
          <w:p w14:paraId="7DB0372A" w14:textId="77777777" w:rsidR="004F2147" w:rsidRDefault="004F2147">
            <w:r>
              <w:t>4</w:t>
            </w:r>
          </w:p>
        </w:tc>
        <w:tc>
          <w:tcPr>
            <w:tcW w:w="2781" w:type="dxa"/>
          </w:tcPr>
          <w:p w14:paraId="6C413633" w14:textId="77777777" w:rsidR="004F2147" w:rsidRDefault="004F2147">
            <w:r>
              <w:t xml:space="preserve">Do we have a clear incident response plan for </w:t>
            </w:r>
            <w:r>
              <w:lastRenderedPageBreak/>
              <w:t>the first 24–48 hours?</w:t>
            </w:r>
          </w:p>
        </w:tc>
        <w:tc>
          <w:tcPr>
            <w:tcW w:w="4023" w:type="dxa"/>
          </w:tcPr>
          <w:p w14:paraId="1CC92AC1" w14:textId="77777777" w:rsidR="004F2147" w:rsidRDefault="004F2147">
            <w:r>
              <w:lastRenderedPageBreak/>
              <w:t xml:space="preserve">Yes. The school has a documented incident response plan covering </w:t>
            </w:r>
            <w:r>
              <w:lastRenderedPageBreak/>
              <w:t>detection, containment, communication, escalation, and recovery. Privacy breach assessment and notification obligations are included, with clear roles and responsibilities.</w:t>
            </w:r>
          </w:p>
        </w:tc>
        <w:tc>
          <w:tcPr>
            <w:tcW w:w="6096" w:type="dxa"/>
          </w:tcPr>
          <w:p w14:paraId="6C79FB10" w14:textId="77777777" w:rsidR="004F2147" w:rsidRDefault="004F2147"/>
        </w:tc>
      </w:tr>
      <w:tr w:rsidR="004F2147" w14:paraId="0512BFF7" w14:textId="77777777" w:rsidTr="004F2147">
        <w:tc>
          <w:tcPr>
            <w:tcW w:w="675" w:type="dxa"/>
          </w:tcPr>
          <w:p w14:paraId="11A1E03C" w14:textId="77777777" w:rsidR="004F2147" w:rsidRDefault="004F2147">
            <w:r>
              <w:t>5</w:t>
            </w:r>
          </w:p>
        </w:tc>
        <w:tc>
          <w:tcPr>
            <w:tcW w:w="2781" w:type="dxa"/>
          </w:tcPr>
          <w:p w14:paraId="0A241938" w14:textId="77777777" w:rsidR="004F2147" w:rsidRDefault="004F2147">
            <w:r>
              <w:t>How do we assess and select digital vendors that handle school data?</w:t>
            </w:r>
          </w:p>
        </w:tc>
        <w:tc>
          <w:tcPr>
            <w:tcW w:w="4023" w:type="dxa"/>
          </w:tcPr>
          <w:p w14:paraId="25E82E65" w14:textId="77777777" w:rsidR="004F2147" w:rsidRDefault="004F2147">
            <w:r>
              <w:t>Vendors are assessed based on privacy practices, security controls, data hosting arrangements, and alignment with education-sector standards. Contracts include privacy and security expectations.</w:t>
            </w:r>
          </w:p>
        </w:tc>
        <w:tc>
          <w:tcPr>
            <w:tcW w:w="6096" w:type="dxa"/>
          </w:tcPr>
          <w:p w14:paraId="5748A33E" w14:textId="77777777" w:rsidR="004F2147" w:rsidRDefault="004F2147"/>
        </w:tc>
      </w:tr>
      <w:tr w:rsidR="004F2147" w14:paraId="48A6AD33" w14:textId="77777777" w:rsidTr="004F2147">
        <w:tc>
          <w:tcPr>
            <w:tcW w:w="675" w:type="dxa"/>
          </w:tcPr>
          <w:p w14:paraId="3B5B0EE5" w14:textId="77777777" w:rsidR="004F2147" w:rsidRDefault="004F2147">
            <w:r>
              <w:t>6</w:t>
            </w:r>
          </w:p>
        </w:tc>
        <w:tc>
          <w:tcPr>
            <w:tcW w:w="2781" w:type="dxa"/>
          </w:tcPr>
          <w:p w14:paraId="2F572875" w14:textId="77777777" w:rsidR="004F2147" w:rsidRDefault="004F2147">
            <w:r>
              <w:t>What independent assurance do we rely on when evaluating suppliers?</w:t>
            </w:r>
          </w:p>
        </w:tc>
        <w:tc>
          <w:tcPr>
            <w:tcW w:w="4023" w:type="dxa"/>
          </w:tcPr>
          <w:p w14:paraId="3DB7CBFF" w14:textId="77777777" w:rsidR="004F2147" w:rsidRDefault="004F2147">
            <w:r>
              <w:t>Preferred suppliers have either completed Safer Technologies 4 Schools (ST4S) assessment or are signatories to the Aotearoa EdTech Data Privacy Pledge. These provide independent or sector-based assurance beyond vendor self-attestation.</w:t>
            </w:r>
          </w:p>
        </w:tc>
        <w:tc>
          <w:tcPr>
            <w:tcW w:w="6096" w:type="dxa"/>
          </w:tcPr>
          <w:p w14:paraId="4F19D804" w14:textId="77777777" w:rsidR="004F2147" w:rsidRDefault="004F2147"/>
        </w:tc>
      </w:tr>
    </w:tbl>
    <w:p w14:paraId="3D4F5019" w14:textId="77777777" w:rsidR="0026541A" w:rsidRDefault="00351FCC">
      <w:r>
        <w:rPr>
          <w:b/>
        </w:rPr>
        <w:br/>
        <w:t>Board expectation</w:t>
      </w:r>
    </w:p>
    <w:p w14:paraId="26C0AF5E" w14:textId="77777777" w:rsidR="0026541A" w:rsidRDefault="00351FCC">
      <w:r>
        <w:t>Digital service providers that handle school data should either have completed Safer Technologies 4 Schools (ST4S) assessment or be signatories to the Aotearoa EdTech Data Privacy Pledge, with evidence available on request.</w:t>
      </w:r>
    </w:p>
    <w:p w14:paraId="72D4A104" w14:textId="500CCCD8" w:rsidR="004F2147" w:rsidRDefault="004F2147" w:rsidP="00E83DFF">
      <w:pPr>
        <w:pStyle w:val="ListParagraph"/>
        <w:numPr>
          <w:ilvl w:val="0"/>
          <w:numId w:val="10"/>
        </w:numPr>
      </w:pPr>
      <w:r>
        <w:t xml:space="preserve">ST4S reference: </w:t>
      </w:r>
      <w:r w:rsidR="007106B0">
        <w:t xml:space="preserve">  </w:t>
      </w:r>
      <w:r w:rsidR="00FF7DE6">
        <w:t xml:space="preserve">Aus:  </w:t>
      </w:r>
      <w:hyperlink r:id="rId8" w:history="1">
        <w:r w:rsidR="00FF7DE6" w:rsidRPr="00623C52">
          <w:rPr>
            <w:rStyle w:val="Hyperlink"/>
          </w:rPr>
          <w:t>https://st4s.edu.au/</w:t>
        </w:r>
      </w:hyperlink>
      <w:r w:rsidR="00FF7DE6">
        <w:t xml:space="preserve">,  </w:t>
      </w:r>
      <w:r>
        <w:t xml:space="preserve">  </w:t>
      </w:r>
      <w:r w:rsidR="00FF7DE6">
        <w:t xml:space="preserve">NZ:  </w:t>
      </w:r>
      <w:hyperlink r:id="rId9" w:history="1">
        <w:r w:rsidR="005239FC" w:rsidRPr="00623C52">
          <w:rPr>
            <w:rStyle w:val="Hyperlink"/>
          </w:rPr>
          <w:t>https://www.education.govt.nz/suppliers-and-providers/administration/digital-technology/safer-technologies-schools-information-suppliers</w:t>
        </w:r>
      </w:hyperlink>
    </w:p>
    <w:p w14:paraId="3BA9EB39" w14:textId="05955AA4" w:rsidR="004F2147" w:rsidRDefault="004F2147" w:rsidP="00E83DFF">
      <w:pPr>
        <w:pStyle w:val="ListParagraph"/>
        <w:numPr>
          <w:ilvl w:val="0"/>
          <w:numId w:val="10"/>
        </w:numPr>
      </w:pPr>
      <w:r>
        <w:t xml:space="preserve">EdTech Privacy Pledge:  </w:t>
      </w:r>
      <w:hyperlink r:id="rId10" w:history="1">
        <w:r w:rsidRPr="00376B7A">
          <w:rPr>
            <w:rStyle w:val="Hyperlink"/>
          </w:rPr>
          <w:t>https://edtechnz.org.nz/the-aotearoa-edtech-data-privacy-pledge-your-gateway-to-st4s/</w:t>
        </w:r>
      </w:hyperlink>
    </w:p>
    <w:p w14:paraId="4E9296C6" w14:textId="77777777" w:rsidR="004F2147" w:rsidRDefault="004F2147"/>
    <w:sectPr w:rsidR="004F2147" w:rsidSect="004F2147">
      <w:footerReference w:type="default" r:id="rId11"/>
      <w:pgSz w:w="15840" w:h="12240" w:orient="landscape"/>
      <w:pgMar w:top="284" w:right="1440" w:bottom="1800" w:left="1440" w:header="73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E9584" w14:textId="77777777" w:rsidR="008355EC" w:rsidRDefault="008355EC" w:rsidP="004F2147">
      <w:pPr>
        <w:spacing w:after="0" w:line="240" w:lineRule="auto"/>
      </w:pPr>
      <w:r>
        <w:separator/>
      </w:r>
    </w:p>
  </w:endnote>
  <w:endnote w:type="continuationSeparator" w:id="0">
    <w:p w14:paraId="087F6067" w14:textId="77777777" w:rsidR="008355EC" w:rsidRDefault="008355EC" w:rsidP="004F2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0881446"/>
      <w:docPartObj>
        <w:docPartGallery w:val="Page Numbers (Bottom of Page)"/>
        <w:docPartUnique/>
      </w:docPartObj>
    </w:sdtPr>
    <w:sdtEndPr>
      <w:rPr>
        <w:noProof/>
      </w:rPr>
    </w:sdtEndPr>
    <w:sdtContent>
      <w:p w14:paraId="7AEDAF1E" w14:textId="514DBBDE" w:rsidR="004F2147" w:rsidRDefault="004F21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245A9A" w14:textId="77777777" w:rsidR="004F2147" w:rsidRDefault="004F21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D0AAB" w14:textId="77777777" w:rsidR="008355EC" w:rsidRDefault="008355EC" w:rsidP="004F2147">
      <w:pPr>
        <w:spacing w:after="0" w:line="240" w:lineRule="auto"/>
      </w:pPr>
      <w:r>
        <w:separator/>
      </w:r>
    </w:p>
  </w:footnote>
  <w:footnote w:type="continuationSeparator" w:id="0">
    <w:p w14:paraId="0FAC4851" w14:textId="77777777" w:rsidR="008355EC" w:rsidRDefault="008355EC" w:rsidP="004F21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A2D362E"/>
    <w:multiLevelType w:val="hybridMultilevel"/>
    <w:tmpl w:val="67FA43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62802748">
    <w:abstractNumId w:val="8"/>
  </w:num>
  <w:num w:numId="2" w16cid:durableId="1613632232">
    <w:abstractNumId w:val="6"/>
  </w:num>
  <w:num w:numId="3" w16cid:durableId="1425032350">
    <w:abstractNumId w:val="5"/>
  </w:num>
  <w:num w:numId="4" w16cid:durableId="1189486088">
    <w:abstractNumId w:val="4"/>
  </w:num>
  <w:num w:numId="5" w16cid:durableId="1645354982">
    <w:abstractNumId w:val="7"/>
  </w:num>
  <w:num w:numId="6" w16cid:durableId="1334723444">
    <w:abstractNumId w:val="3"/>
  </w:num>
  <w:num w:numId="7" w16cid:durableId="1711033128">
    <w:abstractNumId w:val="2"/>
  </w:num>
  <w:num w:numId="8" w16cid:durableId="1090078127">
    <w:abstractNumId w:val="1"/>
  </w:num>
  <w:num w:numId="9" w16cid:durableId="828520088">
    <w:abstractNumId w:val="0"/>
  </w:num>
  <w:num w:numId="10" w16cid:durableId="14324349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YytrQwsjQzNzU1sDRW0lEKTi0uzszPAykwqgUA/sL8mCwAAAA="/>
  </w:docVars>
  <w:rsids>
    <w:rsidRoot w:val="00B47730"/>
    <w:rsid w:val="00034616"/>
    <w:rsid w:val="00054522"/>
    <w:rsid w:val="0006063C"/>
    <w:rsid w:val="0015074B"/>
    <w:rsid w:val="00150D83"/>
    <w:rsid w:val="0026541A"/>
    <w:rsid w:val="0029639D"/>
    <w:rsid w:val="00326F90"/>
    <w:rsid w:val="00351FCC"/>
    <w:rsid w:val="00390219"/>
    <w:rsid w:val="004F2147"/>
    <w:rsid w:val="00512FF6"/>
    <w:rsid w:val="005239FC"/>
    <w:rsid w:val="007106B0"/>
    <w:rsid w:val="007140B1"/>
    <w:rsid w:val="008355EC"/>
    <w:rsid w:val="00963F62"/>
    <w:rsid w:val="00A13B82"/>
    <w:rsid w:val="00AA1D8D"/>
    <w:rsid w:val="00B47730"/>
    <w:rsid w:val="00C76C72"/>
    <w:rsid w:val="00CB0664"/>
    <w:rsid w:val="00E83DFF"/>
    <w:rsid w:val="00EA5955"/>
    <w:rsid w:val="00FC693F"/>
    <w:rsid w:val="00FF7D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1D851B"/>
  <w14:defaultImageDpi w14:val="300"/>
  <w15:docId w15:val="{413CED9E-216E-4DE0-965F-A126B6CE9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4F2147"/>
    <w:rPr>
      <w:color w:val="0000FF" w:themeColor="hyperlink"/>
      <w:u w:val="single"/>
    </w:rPr>
  </w:style>
  <w:style w:type="character" w:styleId="UnresolvedMention">
    <w:name w:val="Unresolved Mention"/>
    <w:basedOn w:val="DefaultParagraphFont"/>
    <w:uiPriority w:val="99"/>
    <w:semiHidden/>
    <w:unhideWhenUsed/>
    <w:rsid w:val="004F2147"/>
    <w:rPr>
      <w:color w:val="605E5C"/>
      <w:shd w:val="clear" w:color="auto" w:fill="E1DFDD"/>
    </w:rPr>
  </w:style>
  <w:style w:type="character" w:styleId="FollowedHyperlink">
    <w:name w:val="FollowedHyperlink"/>
    <w:basedOn w:val="DefaultParagraphFont"/>
    <w:uiPriority w:val="99"/>
    <w:semiHidden/>
    <w:unhideWhenUsed/>
    <w:rsid w:val="007106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4s.edu.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dtechnz.org.nz/the-aotearoa-edtech-data-privacy-pledge-your-gateway-to-st4s/" TargetMode="External"/><Relationship Id="rId4" Type="http://schemas.openxmlformats.org/officeDocument/2006/relationships/settings" Target="settings.xml"/><Relationship Id="rId9" Type="http://schemas.openxmlformats.org/officeDocument/2006/relationships/hyperlink" Target="https://www.education.govt.nz/suppliers-and-providers/administration/digital-technology/safer-technologies-schools-information-suppli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Stuart Dillon-Roberts</cp:lastModifiedBy>
  <cp:revision>2</cp:revision>
  <dcterms:created xsi:type="dcterms:W3CDTF">2026-01-22T02:57:00Z</dcterms:created>
  <dcterms:modified xsi:type="dcterms:W3CDTF">2026-01-22T02:57:00Z</dcterms:modified>
  <cp:category/>
</cp:coreProperties>
</file>