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5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3633"/>
        <w:gridCol w:w="2209"/>
        <w:gridCol w:w="2096"/>
        <w:tblGridChange w:id="0">
          <w:tblGrid>
            <w:gridCol w:w="2415"/>
            <w:gridCol w:w="3633"/>
            <w:gridCol w:w="2209"/>
            <w:gridCol w:w="2096"/>
          </w:tblGrid>
        </w:tblGridChange>
      </w:tblGrid>
      <w:tr>
        <w:trPr>
          <w:cantSplit w:val="0"/>
          <w:trHeight w:val="1451" w:hRule="atLeast"/>
          <w:tblHeader w:val="0"/>
        </w:trPr>
        <w:tc>
          <w:tcPr>
            <w:tcBorders>
              <w:top w:color="000000" w:space="0" w:sz="0" w:val="nil"/>
              <w:left w:color="000000" w:space="0" w:sz="0" w:val="nil"/>
              <w:bottom w:color="147abd" w:space="0" w:sz="4" w:val="single"/>
              <w:right w:color="000000" w:space="0" w:sz="0" w:val="nil"/>
            </w:tcBorders>
            <w:shd w:fill="auto" w:val="clear"/>
          </w:tcPr>
          <w:p w:rsidR="00000000" w:rsidDel="00000000" w:rsidP="00000000" w:rsidRDefault="00000000" w:rsidRPr="00000000" w14:paraId="00000002">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227965</wp:posOffset>
                  </wp:positionH>
                  <wp:positionV relativeFrom="paragraph">
                    <wp:posOffset>0</wp:posOffset>
                  </wp:positionV>
                  <wp:extent cx="962025" cy="96202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2025" cy="962025"/>
                          </a:xfrm>
                          <a:prstGeom prst="rect"/>
                          <a:ln/>
                        </pic:spPr>
                      </pic:pic>
                    </a:graphicData>
                  </a:graphic>
                </wp:anchor>
              </w:drawing>
            </w:r>
          </w:p>
        </w:tc>
        <w:tc>
          <w:tcPr>
            <w:gridSpan w:val="3"/>
            <w:tcBorders>
              <w:top w:color="000000" w:space="0" w:sz="0" w:val="nil"/>
              <w:left w:color="000000" w:space="0" w:sz="0" w:val="nil"/>
              <w:bottom w:color="147abd" w:space="0" w:sz="4" w:val="single"/>
              <w:right w:color="000000" w:space="0" w:sz="0" w:val="nil"/>
            </w:tcBorders>
            <w:shd w:fill="auto" w:val="clear"/>
          </w:tcPr>
          <w:p w:rsidR="00000000" w:rsidDel="00000000" w:rsidP="00000000" w:rsidRDefault="00000000" w:rsidRPr="00000000" w14:paraId="00000003">
            <w:pPr>
              <w:jc w:val="center"/>
              <w:rPr>
                <w:b w:val="1"/>
                <w:color w:val="262626"/>
                <w:sz w:val="44"/>
                <w:szCs w:val="44"/>
              </w:rPr>
            </w:pPr>
            <w:r w:rsidDel="00000000" w:rsidR="00000000" w:rsidRPr="00000000">
              <w:rPr>
                <w:b w:val="1"/>
                <w:color w:val="262626"/>
                <w:sz w:val="44"/>
                <w:szCs w:val="44"/>
                <w:rtl w:val="0"/>
              </w:rPr>
              <w:t xml:space="preserve">Harewood School Pool</w:t>
            </w:r>
          </w:p>
          <w:p w:rsidR="00000000" w:rsidDel="00000000" w:rsidP="00000000" w:rsidRDefault="00000000" w:rsidRPr="00000000" w14:paraId="00000004">
            <w:pPr>
              <w:jc w:val="center"/>
              <w:rPr>
                <w:b w:val="1"/>
                <w:color w:val="055c99"/>
                <w:sz w:val="40"/>
                <w:szCs w:val="40"/>
              </w:rPr>
            </w:pPr>
            <w:r w:rsidDel="00000000" w:rsidR="00000000" w:rsidRPr="00000000">
              <w:rPr>
                <w:b w:val="1"/>
                <w:color w:val="055c99"/>
                <w:sz w:val="40"/>
                <w:szCs w:val="40"/>
                <w:rtl w:val="0"/>
              </w:rPr>
              <w:t xml:space="preserve">School Pool Use Contract 2024/25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7">
            <w:pPr>
              <w:rPr>
                <w:b w:val="1"/>
              </w:rPr>
            </w:pPr>
            <w:r w:rsidDel="00000000" w:rsidR="00000000" w:rsidRPr="00000000">
              <w:rPr>
                <w:b w:val="1"/>
                <w:rtl w:val="0"/>
              </w:rPr>
              <w:t xml:space="preserve">Pool opening times</w:t>
            </w:r>
          </w:p>
        </w:tc>
        <w:tc>
          <w:tcPr>
            <w:gridSpan w:val="3"/>
            <w:tcBorders>
              <w:top w:color="147abd" w:space="0" w:sz="4" w:val="single"/>
              <w:left w:color="000000" w:space="0" w:sz="0" w:val="nil"/>
              <w:bottom w:color="147abd" w:space="0" w:sz="4" w:val="single"/>
              <w:right w:color="000000" w:space="0" w:sz="0" w:val="nil"/>
            </w:tcBorders>
            <w:shd w:fill="auto" w:val="clear"/>
          </w:tcPr>
          <w:p w:rsidR="00000000" w:rsidDel="00000000" w:rsidP="00000000" w:rsidRDefault="00000000" w:rsidRPr="00000000" w14:paraId="00000008">
            <w:pPr>
              <w:rPr/>
            </w:pPr>
            <w:r w:rsidDel="00000000" w:rsidR="00000000" w:rsidRPr="00000000">
              <w:rPr>
                <w:rtl w:val="0"/>
              </w:rPr>
              <w:t xml:space="preserve">The school pool is available for use at the following times: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days between 3.15pm – 8.00 pm</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9" w:right="0" w:hanging="36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Weekends and holidays between 9 am and 8 pm</w:t>
            </w:r>
            <w:r w:rsidDel="00000000" w:rsidR="00000000" w:rsidRPr="00000000">
              <w:rPr>
                <w:rtl w:val="0"/>
              </w:rPr>
            </w:r>
          </w:p>
        </w:tc>
      </w:tr>
      <w:tr>
        <w:trPr>
          <w:cantSplit w:val="0"/>
          <w:tblHeader w:val="0"/>
        </w:trPr>
        <w:tc>
          <w:tcPr>
            <w:tcBorders>
              <w:top w:color="055c99"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0D">
            <w:pPr>
              <w:rPr>
                <w:b w:val="1"/>
              </w:rPr>
            </w:pPr>
            <w:r w:rsidDel="00000000" w:rsidR="00000000" w:rsidRPr="00000000">
              <w:rPr>
                <w:b w:val="1"/>
                <w:rtl w:val="0"/>
              </w:rPr>
              <w:t xml:space="preserve">Costs</w:t>
            </w:r>
          </w:p>
        </w:tc>
        <w:tc>
          <w:tcPr>
            <w:gridSpan w:val="3"/>
            <w:tcBorders>
              <w:top w:color="147abd" w:space="0" w:sz="4" w:val="single"/>
              <w:left w:color="000000" w:space="0" w:sz="0" w:val="nil"/>
              <w:bottom w:color="147abd" w:space="0" w:sz="4" w:val="single"/>
              <w:right w:color="000000" w:space="0" w:sz="0" w:val="nil"/>
            </w:tcBorders>
            <w:shd w:fill="auto" w:val="clear"/>
          </w:tcPr>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Keys cost $</w:t>
            </w:r>
            <w:r w:rsidDel="00000000" w:rsidR="00000000" w:rsidRPr="00000000">
              <w:rPr>
                <w:sz w:val="20"/>
                <w:szCs w:val="20"/>
                <w:rtl w:val="0"/>
              </w:rPr>
              <w:t xml:space="preserve">70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the season. A $5 refund is given when the key is returned on or before the last day of Term 1. No refunds are given after that date.</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3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Keys are issued for the use by the immediate family of the key holder, and other people residing at the same address.</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38"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Keys remain the property of the board and may not be duplicated or passed on to another person.</w:t>
            </w:r>
            <w:r w:rsidDel="00000000" w:rsidR="00000000" w:rsidRPr="00000000">
              <w:rPr>
                <w:rtl w:val="0"/>
              </w:rPr>
            </w:r>
          </w:p>
        </w:tc>
      </w:tr>
      <w:tr>
        <w:trPr>
          <w:cantSplit w:val="0"/>
          <w:tblHeader w:val="0"/>
        </w:trPr>
        <w:tc>
          <w:tcPr>
            <w:tcBorders>
              <w:top w:color="055c99"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3">
            <w:pPr>
              <w:rPr>
                <w:b w:val="1"/>
              </w:rPr>
            </w:pPr>
            <w:r w:rsidDel="00000000" w:rsidR="00000000" w:rsidRPr="00000000">
              <w:rPr>
                <w:b w:val="1"/>
                <w:rtl w:val="0"/>
              </w:rPr>
              <w:t xml:space="preserve">Keyholder responsibilities</w:t>
            </w:r>
          </w:p>
        </w:tc>
        <w:tc>
          <w:tcPr>
            <w:gridSpan w:val="3"/>
            <w:tcBorders>
              <w:top w:color="147abd" w:space="0" w:sz="4" w:val="single"/>
              <w:left w:color="000000" w:space="0" w:sz="0" w:val="nil"/>
              <w:bottom w:color="147abd" w:space="0" w:sz="4" w:val="single"/>
              <w:right w:color="000000" w:space="0" w:sz="0" w:val="nil"/>
            </w:tcBorders>
            <w:shd w:fill="auto" w:val="clear"/>
          </w:tcPr>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key holder becomes a supervisor as they enter and oversee all members of the group. Key holders must be considerate of other users at the pool. Unruly behaviour will not be tolerated.</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Nobody is to swim alone or under the influence of alcohol or drugs.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Everyone must use safe swimming practices. These include:</w:t>
            </w:r>
          </w:p>
          <w:p w:rsidR="00000000" w:rsidDel="00000000" w:rsidP="00000000" w:rsidRDefault="00000000" w:rsidRPr="00000000" w14:paraId="0000001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running in the pool area</w:t>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diving or standing on the pool walls.</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must never be in the pool compound without an accompanying adult and may only swim with adult supervision.  Children under 8 must be actively supervised at all times by an adult in the water beside them or at the pool edge beside them.</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of a faecal discharge or vomit incident in the pool please notify the emergency contact. The pool will be closed until the water quality is tested and restored.</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Keyholders must lock the gate when they enter the pool compound and when they leave and must never tie or leave the gate open for any reason.</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Food, beverages, and hazardous materials are not permitted in the pool area.</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first aid kit is available in the pool shed and a </w:t>
            </w:r>
            <w:r w:rsidDel="00000000" w:rsidR="00000000" w:rsidRPr="00000000">
              <w:rPr>
                <w:sz w:val="20"/>
                <w:szCs w:val="20"/>
                <w:rtl w:val="0"/>
              </w:rPr>
              <w:t xml:space="preserve">list of pool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supervisors and their phone numbers are attached to the wall. Emergency school contacts are also listed. As there is no phone on site outside of school hours you are required to bring a cell phone for emergency use.</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Animals or cycles are not permitted in the pool area.</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Harewood School has a “No Smoking” policy, and this is to be adhered to around the entire grounds of the school.</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Keys are not to be lent, each family wishing to use the pool must purchase their own key. Keys can only be hired by Harewood School families.</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Board of Trustees reserves the right to close the pool at any time.</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Anyone using the pool must replace the cover when leaving. Please securely lock the gate when you are the last to leave. The gate is to be securely closed at all times.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rules are to protect the rights of all concerned, and your disregard for them may lead to cancellation of the right to use the pool.</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‘pool closed’ sign is displayed the pool must not be used.</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Families hiring a key agree to be trained to complete simple pool testing and recording and to ensure toilets are checked and cleaned.</w:t>
            </w:r>
            <w:r w:rsidDel="00000000" w:rsidR="00000000" w:rsidRPr="00000000">
              <w:rPr>
                <w:rtl w:val="0"/>
              </w:rPr>
            </w:r>
          </w:p>
          <w:p w:rsidR="00000000" w:rsidDel="00000000" w:rsidP="00000000" w:rsidRDefault="00000000" w:rsidRPr="00000000" w14:paraId="00000026">
            <w:pPr>
              <w:spacing w:after="0" w:line="276" w:lineRule="auto"/>
              <w:rPr>
                <w:i w:val="1"/>
              </w:rPr>
            </w:pPr>
            <w:r w:rsidDel="00000000" w:rsidR="00000000" w:rsidRPr="00000000">
              <w:rPr>
                <w:rtl w:val="0"/>
              </w:rPr>
            </w:r>
          </w:p>
          <w:p w:rsidR="00000000" w:rsidDel="00000000" w:rsidP="00000000" w:rsidRDefault="00000000" w:rsidRPr="00000000" w14:paraId="00000027">
            <w:pPr>
              <w:spacing w:after="0" w:line="276" w:lineRule="auto"/>
              <w:rPr>
                <w:b w:val="1"/>
              </w:rPr>
            </w:pPr>
            <w:r w:rsidDel="00000000" w:rsidR="00000000" w:rsidRPr="00000000">
              <w:rPr>
                <w:b w:val="1"/>
                <w:rtl w:val="0"/>
              </w:rPr>
              <w:t xml:space="preserve">Please read the disclaimer on the next page and sign.</w:t>
            </w:r>
          </w:p>
        </w:tc>
      </w:tr>
      <w:tr>
        <w:trPr>
          <w:cantSplit w:val="0"/>
          <w:tblHeader w:val="0"/>
        </w:trPr>
        <w:tc>
          <w:tcPr>
            <w:tcBorders>
              <w:top w:color="055c99" w:space="0" w:sz="4" w:val="single"/>
              <w:left w:color="000000" w:space="0" w:sz="0" w:val="nil"/>
              <w:bottom w:color="147abd" w:space="0" w:sz="4" w:val="single"/>
              <w:right w:color="000000" w:space="0" w:sz="0" w:val="nil"/>
            </w:tcBorders>
            <w:shd w:fill="auto" w:val="clear"/>
          </w:tcPr>
          <w:p w:rsidR="00000000" w:rsidDel="00000000" w:rsidP="00000000" w:rsidRDefault="00000000" w:rsidRPr="00000000" w14:paraId="0000002A">
            <w:pPr>
              <w:rPr>
                <w:b w:val="1"/>
              </w:rPr>
            </w:pPr>
            <w:r w:rsidDel="00000000" w:rsidR="00000000" w:rsidRPr="00000000">
              <w:rPr>
                <w:b w:val="1"/>
                <w:rtl w:val="0"/>
              </w:rPr>
              <w:t xml:space="preserve">Disclaimer</w:t>
            </w:r>
          </w:p>
        </w:tc>
        <w:tc>
          <w:tcPr>
            <w:gridSpan w:val="3"/>
            <w:tcBorders>
              <w:top w:color="147abd" w:space="0" w:sz="4" w:val="single"/>
              <w:left w:color="000000" w:space="0" w:sz="0" w:val="nil"/>
              <w:bottom w:color="147abd" w:space="0" w:sz="4" w:val="single"/>
              <w:right w:color="000000" w:space="0" w:sz="0" w:val="nil"/>
            </w:tcBorders>
            <w:shd w:fill="auto" w:val="clear"/>
          </w:tcPr>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The school board of trustees shall not be liable or responsible for loss or damage to any school property, or for any death, accident, loss, or injury arising out of the use of the pool. Any person using the pool shall indemnify the school board of trustees from all actions, claims, suits, demands, costs, and proceedings that may be made against them, or any of them, arising out of or in connection with the use of the pool.</w:t>
            </w:r>
          </w:p>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The school board of trustees and/or pool committee reserve the right to evict any person(s) from the pool for not conforming to these conditions. They also reserve the right to alter the above conditions without notice. Infringements will result in confiscation of the key/code.</w:t>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Gafa Tuiloma</w:t>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Chairperson, Board of Trustees</w:t>
            </w:r>
          </w:p>
        </w:tc>
      </w:tr>
      <w:tr>
        <w:trPr>
          <w:cantSplit w:val="0"/>
          <w:trHeight w:val="397" w:hRule="atLeast"/>
          <w:tblHeader w:val="0"/>
        </w:trPr>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1">
            <w:pPr>
              <w:rPr>
                <w:b w:val="1"/>
              </w:rPr>
            </w:pPr>
            <w:r w:rsidDel="00000000" w:rsidR="00000000" w:rsidRPr="00000000">
              <w:rPr>
                <w:b w:val="1"/>
                <w:rtl w:val="0"/>
              </w:rPr>
              <w:t xml:space="preserve">I have read the school pool conditions of use and agree to abide by them.</w:t>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5">
            <w:pPr>
              <w:spacing w:after="0" w:lineRule="auto"/>
              <w:jc w:val="right"/>
              <w:rPr>
                <w:color w:val="000000"/>
                <w:sz w:val="20"/>
                <w:szCs w:val="20"/>
              </w:rPr>
            </w:pPr>
            <w:r w:rsidDel="00000000" w:rsidR="00000000" w:rsidRPr="00000000">
              <w:rPr>
                <w:color w:val="000000"/>
                <w:sz w:val="20"/>
                <w:szCs w:val="20"/>
                <w:rtl w:val="0"/>
              </w:rPr>
              <w:t xml:space="preserve">Name (parent/caregiver)</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6">
            <w:pPr>
              <w:spacing w:after="0" w:lineRule="auto"/>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spacing w:after="0" w:lineRule="auto"/>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8">
            <w:pPr>
              <w:spacing w:after="0" w:lineRule="auto"/>
              <w:jc w:val="right"/>
              <w:rPr>
                <w:color w:val="000000"/>
                <w:sz w:val="20"/>
                <w:szCs w:val="20"/>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9">
            <w:pPr>
              <w:spacing w:after="0" w:lineRule="auto"/>
              <w:jc w:val="right"/>
              <w:rPr>
                <w:color w:val="000000"/>
                <w:sz w:val="20"/>
                <w:szCs w:val="20"/>
              </w:rPr>
            </w:pPr>
            <w:r w:rsidDel="00000000" w:rsidR="00000000" w:rsidRPr="00000000">
              <w:rPr>
                <w:color w:val="000000"/>
                <w:sz w:val="20"/>
                <w:szCs w:val="20"/>
                <w:rtl w:val="0"/>
              </w:rPr>
              <w:t xml:space="preserve">Signature</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A">
            <w:pPr>
              <w:spacing w:after="0" w:lineRule="auto"/>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B">
            <w:pPr>
              <w:spacing w:after="0" w:lineRule="auto"/>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spacing w:after="0" w:lineRule="auto"/>
              <w:jc w:val="right"/>
              <w:rPr>
                <w:color w:val="000000"/>
                <w:sz w:val="20"/>
                <w:szCs w:val="20"/>
              </w:rPr>
            </w:pPr>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D">
            <w:pPr>
              <w:spacing w:after="0" w:lineRule="auto"/>
              <w:jc w:val="right"/>
              <w:rPr>
                <w:color w:val="000000"/>
                <w:sz w:val="20"/>
                <w:szCs w:val="20"/>
              </w:rPr>
            </w:pPr>
            <w:r w:rsidDel="00000000" w:rsidR="00000000" w:rsidRPr="00000000">
              <w:rPr>
                <w:color w:val="000000"/>
                <w:sz w:val="20"/>
                <w:szCs w:val="20"/>
                <w:rtl w:val="0"/>
              </w:rPr>
              <w:t xml:space="preserve">Phone</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3E">
            <w:pPr>
              <w:spacing w:after="0" w:lineRule="auto"/>
              <w:jc w:val="right"/>
              <w:rPr>
                <w:color w:val="00000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F">
            <w:pPr>
              <w:spacing w:after="0" w:lineRule="auto"/>
              <w:jc w:val="right"/>
              <w:rPr>
                <w:color w:val="000000"/>
                <w:sz w:val="20"/>
                <w:szCs w:val="20"/>
              </w:rPr>
            </w:pPr>
            <w:r w:rsidDel="00000000" w:rsidR="00000000" w:rsidRPr="00000000">
              <w:rPr>
                <w:color w:val="000000"/>
                <w:sz w:val="20"/>
                <w:szCs w:val="20"/>
                <w:rtl w:val="0"/>
              </w:rPr>
              <w:t xml:space="preserve">Key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40">
            <w:pPr>
              <w:spacing w:after="0" w:lineRule="auto"/>
              <w:jc w:val="right"/>
              <w:rPr>
                <w:color w:val="000000"/>
                <w:sz w:val="20"/>
                <w:szCs w:val="20"/>
              </w:rPr>
            </w:pPr>
            <w:r w:rsidDel="00000000" w:rsidR="00000000" w:rsidRPr="00000000">
              <w:rPr>
                <w:rtl w:val="0"/>
              </w:rPr>
            </w:r>
          </w:p>
        </w:tc>
      </w:tr>
      <w:tr>
        <w:trPr>
          <w:cantSplit w:val="0"/>
          <w:trHeight w:val="227" w:hRule="atLeast"/>
          <w:tblHeader w:val="0"/>
        </w:trPr>
        <w:tc>
          <w:tcPr>
            <w:tcBorders>
              <w:top w:color="000000" w:space="0" w:sz="0" w:val="nil"/>
              <w:left w:color="000000" w:space="0" w:sz="0" w:val="nil"/>
              <w:bottom w:color="147abd" w:space="0" w:sz="4" w:val="single"/>
              <w:right w:color="000000" w:space="0" w:sz="0" w:val="nil"/>
            </w:tcBorders>
            <w:shd w:fill="auto" w:val="clear"/>
            <w:vAlign w:val="bottom"/>
          </w:tcPr>
          <w:p w:rsidR="00000000" w:rsidDel="00000000" w:rsidP="00000000" w:rsidRDefault="00000000" w:rsidRPr="00000000" w14:paraId="00000041">
            <w:pPr>
              <w:jc w:val="right"/>
              <w:rPr>
                <w:color w:val="000000"/>
                <w:sz w:val="20"/>
                <w:szCs w:val="20"/>
              </w:rPr>
            </w:pPr>
            <w:r w:rsidDel="00000000" w:rsidR="00000000" w:rsidRPr="00000000">
              <w:rPr>
                <w:rtl w:val="0"/>
              </w:rPr>
            </w:r>
          </w:p>
        </w:tc>
        <w:tc>
          <w:tcPr>
            <w:tcBorders>
              <w:top w:color="000000" w:space="0" w:sz="4" w:val="single"/>
              <w:left w:color="000000" w:space="0" w:sz="0" w:val="nil"/>
              <w:bottom w:color="147abd" w:space="0" w:sz="4" w:val="single"/>
              <w:right w:color="000000" w:space="0" w:sz="0" w:val="nil"/>
            </w:tcBorders>
            <w:shd w:fill="auto" w:val="clear"/>
            <w:vAlign w:val="bottom"/>
          </w:tcPr>
          <w:p w:rsidR="00000000" w:rsidDel="00000000" w:rsidP="00000000" w:rsidRDefault="00000000" w:rsidRPr="00000000" w14:paraId="00000042">
            <w:pPr>
              <w:jc w:val="right"/>
              <w:rPr>
                <w:color w:val="000000"/>
                <w:sz w:val="20"/>
                <w:szCs w:val="20"/>
              </w:rPr>
            </w:pPr>
            <w:r w:rsidDel="00000000" w:rsidR="00000000" w:rsidRPr="00000000">
              <w:rPr>
                <w:rtl w:val="0"/>
              </w:rPr>
            </w:r>
          </w:p>
        </w:tc>
        <w:tc>
          <w:tcPr>
            <w:tcBorders>
              <w:top w:color="000000" w:space="0" w:sz="0" w:val="nil"/>
              <w:left w:color="000000" w:space="0" w:sz="0" w:val="nil"/>
              <w:bottom w:color="147abd" w:space="0" w:sz="4" w:val="single"/>
              <w:right w:color="000000" w:space="0" w:sz="0" w:val="nil"/>
            </w:tcBorders>
            <w:shd w:fill="auto" w:val="clear"/>
            <w:vAlign w:val="bottom"/>
          </w:tcPr>
          <w:p w:rsidR="00000000" w:rsidDel="00000000" w:rsidP="00000000" w:rsidRDefault="00000000" w:rsidRPr="00000000" w14:paraId="00000043">
            <w:pPr>
              <w:jc w:val="right"/>
              <w:rPr>
                <w:color w:val="000000"/>
                <w:sz w:val="20"/>
                <w:szCs w:val="20"/>
              </w:rPr>
            </w:pPr>
            <w:r w:rsidDel="00000000" w:rsidR="00000000" w:rsidRPr="00000000">
              <w:rPr>
                <w:rtl w:val="0"/>
              </w:rPr>
            </w:r>
          </w:p>
        </w:tc>
        <w:tc>
          <w:tcPr>
            <w:tcBorders>
              <w:top w:color="000000" w:space="0" w:sz="4" w:val="single"/>
              <w:left w:color="000000" w:space="0" w:sz="0" w:val="nil"/>
              <w:bottom w:color="147abd" w:space="0" w:sz="4" w:val="single"/>
              <w:right w:color="000000" w:space="0" w:sz="0" w:val="nil"/>
            </w:tcBorders>
            <w:shd w:fill="auto" w:val="clear"/>
            <w:vAlign w:val="bottom"/>
          </w:tcPr>
          <w:p w:rsidR="00000000" w:rsidDel="00000000" w:rsidP="00000000" w:rsidRDefault="00000000" w:rsidRPr="00000000" w14:paraId="00000044">
            <w:pPr>
              <w:jc w:val="right"/>
              <w:rPr>
                <w:color w:val="000000"/>
                <w:sz w:val="20"/>
                <w:szCs w:val="20"/>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6838" w:w="11906" w:orient="portrait"/>
      <w:pgMar w:bottom="568" w:top="993"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19" w:hanging="359.9999999999999"/>
      </w:pPr>
      <w:rPr>
        <w:rFonts w:ascii="Noto Sans Symbols" w:cs="Noto Sans Symbols" w:eastAsia="Noto Sans Symbols" w:hAnsi="Noto Sans Symbols"/>
      </w:rPr>
    </w:lvl>
    <w:lvl w:ilvl="1">
      <w:start w:val="1"/>
      <w:numFmt w:val="bullet"/>
      <w:lvlText w:val="o"/>
      <w:lvlJc w:val="left"/>
      <w:pPr>
        <w:ind w:left="1539" w:hanging="360"/>
      </w:pPr>
      <w:rPr>
        <w:rFonts w:ascii="Courier New" w:cs="Courier New" w:eastAsia="Courier New" w:hAnsi="Courier New"/>
      </w:rPr>
    </w:lvl>
    <w:lvl w:ilvl="2">
      <w:start w:val="1"/>
      <w:numFmt w:val="bullet"/>
      <w:lvlText w:val="▪"/>
      <w:lvlJc w:val="left"/>
      <w:pPr>
        <w:ind w:left="2259" w:hanging="360"/>
      </w:pPr>
      <w:rPr>
        <w:rFonts w:ascii="Noto Sans Symbols" w:cs="Noto Sans Symbols" w:eastAsia="Noto Sans Symbols" w:hAnsi="Noto Sans Symbols"/>
      </w:rPr>
    </w:lvl>
    <w:lvl w:ilvl="3">
      <w:start w:val="1"/>
      <w:numFmt w:val="bullet"/>
      <w:lvlText w:val="●"/>
      <w:lvlJc w:val="left"/>
      <w:pPr>
        <w:ind w:left="2979" w:hanging="360"/>
      </w:pPr>
      <w:rPr>
        <w:rFonts w:ascii="Noto Sans Symbols" w:cs="Noto Sans Symbols" w:eastAsia="Noto Sans Symbols" w:hAnsi="Noto Sans Symbols"/>
      </w:rPr>
    </w:lvl>
    <w:lvl w:ilvl="4">
      <w:start w:val="1"/>
      <w:numFmt w:val="bullet"/>
      <w:lvlText w:val="o"/>
      <w:lvlJc w:val="left"/>
      <w:pPr>
        <w:ind w:left="3699" w:hanging="360"/>
      </w:pPr>
      <w:rPr>
        <w:rFonts w:ascii="Courier New" w:cs="Courier New" w:eastAsia="Courier New" w:hAnsi="Courier New"/>
      </w:rPr>
    </w:lvl>
    <w:lvl w:ilvl="5">
      <w:start w:val="1"/>
      <w:numFmt w:val="bullet"/>
      <w:lvlText w:val="▪"/>
      <w:lvlJc w:val="left"/>
      <w:pPr>
        <w:ind w:left="4419" w:hanging="360"/>
      </w:pPr>
      <w:rPr>
        <w:rFonts w:ascii="Noto Sans Symbols" w:cs="Noto Sans Symbols" w:eastAsia="Noto Sans Symbols" w:hAnsi="Noto Sans Symbols"/>
      </w:rPr>
    </w:lvl>
    <w:lvl w:ilvl="6">
      <w:start w:val="1"/>
      <w:numFmt w:val="bullet"/>
      <w:lvlText w:val="●"/>
      <w:lvlJc w:val="left"/>
      <w:pPr>
        <w:ind w:left="5139" w:hanging="360"/>
      </w:pPr>
      <w:rPr>
        <w:rFonts w:ascii="Noto Sans Symbols" w:cs="Noto Sans Symbols" w:eastAsia="Noto Sans Symbols" w:hAnsi="Noto Sans Symbols"/>
      </w:rPr>
    </w:lvl>
    <w:lvl w:ilvl="7">
      <w:start w:val="1"/>
      <w:numFmt w:val="bullet"/>
      <w:lvlText w:val="o"/>
      <w:lvlJc w:val="left"/>
      <w:pPr>
        <w:ind w:left="5859" w:hanging="360"/>
      </w:pPr>
      <w:rPr>
        <w:rFonts w:ascii="Courier New" w:cs="Courier New" w:eastAsia="Courier New" w:hAnsi="Courier New"/>
      </w:rPr>
    </w:lvl>
    <w:lvl w:ilvl="8">
      <w:start w:val="1"/>
      <w:numFmt w:val="bullet"/>
      <w:lvlText w:val="▪"/>
      <w:lvlJc w:val="left"/>
      <w:pPr>
        <w:ind w:left="657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mallCaps w:val="1"/>
      <w:color w:val="000000"/>
      <w:sz w:val="20"/>
      <w:szCs w:val="20"/>
    </w:rPr>
  </w:style>
  <w:style w:type="paragraph" w:styleId="Heading2">
    <w:name w:val="heading 2"/>
    <w:basedOn w:val="Normal"/>
    <w:next w:val="Normal"/>
    <w:pPr/>
    <w:rPr>
      <w:b w:val="1"/>
      <w:smallCaps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Black" w:cs="Arial Black" w:eastAsia="Arial Black" w:hAnsi="Arial Black"/>
      <w:color w:val="147abd"/>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mallCaps w:val="1"/>
      <w:color w:val="000000"/>
      <w:sz w:val="20"/>
      <w:szCs w:val="20"/>
    </w:rPr>
  </w:style>
  <w:style w:type="paragraph" w:styleId="Heading2">
    <w:name w:val="heading 2"/>
    <w:basedOn w:val="Normal"/>
    <w:next w:val="Normal"/>
    <w:pPr/>
    <w:rPr>
      <w:b w:val="1"/>
      <w:smallCaps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Black" w:cs="Arial Black" w:eastAsia="Arial Black" w:hAnsi="Arial Black"/>
      <w:color w:val="147abd"/>
      <w:sz w:val="40"/>
      <w:szCs w:val="40"/>
    </w:rPr>
  </w:style>
  <w:style w:type="paragraph" w:styleId="Normal" w:default="1">
    <w:name w:val="Normal"/>
    <w:qFormat w:val="1"/>
    <w:rsid w:val="003D7B38"/>
    <w:pPr>
      <w:spacing w:after="160" w:line="259" w:lineRule="auto"/>
    </w:pPr>
    <w:rPr>
      <w:sz w:val="22"/>
      <w:szCs w:val="22"/>
      <w:lang w:eastAsia="en-US"/>
    </w:rPr>
  </w:style>
  <w:style w:type="paragraph" w:styleId="Heading1">
    <w:name w:val="heading 1"/>
    <w:basedOn w:val="Title"/>
    <w:next w:val="Normal"/>
    <w:link w:val="Heading1Char"/>
    <w:uiPriority w:val="2"/>
    <w:qFormat w:val="1"/>
    <w:rsid w:val="00A860BB"/>
    <w:pPr>
      <w:outlineLvl w:val="0"/>
    </w:pPr>
    <w:rPr>
      <w:rFonts w:ascii="Arial" w:eastAsia="Franklin Gothic Demi" w:hAnsi="Arial"/>
      <w:b w:val="1"/>
      <w:caps w:val="1"/>
      <w:color w:val="auto"/>
      <w:sz w:val="20"/>
    </w:rPr>
  </w:style>
  <w:style w:type="paragraph" w:styleId="Heading2">
    <w:name w:val="heading 2"/>
    <w:basedOn w:val="Normal"/>
    <w:next w:val="Normal"/>
    <w:link w:val="Heading2Char"/>
    <w:uiPriority w:val="2"/>
    <w:qFormat w:val="1"/>
    <w:rsid w:val="00A860BB"/>
    <w:pPr>
      <w:outlineLvl w:val="1"/>
    </w:pPr>
    <w:rPr>
      <w:b w:val="1"/>
      <w: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C6F5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link w:val="TitleChar"/>
    <w:uiPriority w:val="1"/>
    <w:unhideWhenUsed w:val="1"/>
    <w:rsid w:val="00A860BB"/>
    <w:pPr>
      <w:contextualSpacing w:val="1"/>
      <w:jc w:val="center"/>
    </w:pPr>
    <w:rPr>
      <w:rFonts w:ascii="Arial Black" w:eastAsia="Times New Roman" w:hAnsi="Arial Black"/>
      <w:color w:val="147abd"/>
      <w:kern w:val="28"/>
      <w:sz w:val="40"/>
      <w:szCs w:val="56"/>
    </w:rPr>
  </w:style>
  <w:style w:type="character" w:styleId="TitleChar" w:customStyle="1">
    <w:name w:val="Title Char"/>
    <w:link w:val="Title"/>
    <w:uiPriority w:val="1"/>
    <w:rsid w:val="00825295"/>
    <w:rPr>
      <w:rFonts w:ascii="Arial Black" w:cs="Times New Roman" w:eastAsia="Times New Roman" w:hAnsi="Arial Black"/>
      <w:color w:val="147abd"/>
      <w:kern w:val="28"/>
      <w:sz w:val="40"/>
      <w:szCs w:val="56"/>
    </w:rPr>
  </w:style>
  <w:style w:type="character" w:styleId="Strong">
    <w:name w:val="Strong"/>
    <w:uiPriority w:val="22"/>
    <w:unhideWhenUsed w:val="1"/>
    <w:qFormat w:val="1"/>
    <w:rsid w:val="00F7528E"/>
    <w:rPr>
      <w:rFonts w:ascii="Arial" w:hAnsi="Arial"/>
      <w:b w:val="1"/>
      <w:bCs w:val="1"/>
      <w:color w:val="000000"/>
    </w:rPr>
  </w:style>
  <w:style w:type="paragraph" w:styleId="NoSpacing">
    <w:name w:val="No Spacing"/>
    <w:uiPriority w:val="1"/>
    <w:semiHidden w:val="1"/>
    <w:qFormat w:val="1"/>
    <w:rsid w:val="00DC5D31"/>
    <w:rPr>
      <w:color w:val="000000"/>
      <w:sz w:val="21"/>
      <w:lang w:eastAsia="en-US" w:val="en-US"/>
    </w:rPr>
  </w:style>
  <w:style w:type="paragraph" w:styleId="Header">
    <w:name w:val="header"/>
    <w:basedOn w:val="Normal"/>
    <w:link w:val="HeaderChar"/>
    <w:uiPriority w:val="99"/>
    <w:rsid w:val="00DC5D31"/>
    <w:pPr>
      <w:tabs>
        <w:tab w:val="center" w:pos="4680"/>
        <w:tab w:val="right" w:pos="9360"/>
      </w:tabs>
    </w:pPr>
  </w:style>
  <w:style w:type="character" w:styleId="HeaderChar" w:customStyle="1">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styleId="FooterChar" w:customStyle="1">
    <w:name w:val="Footer Char"/>
    <w:basedOn w:val="DefaultParagraphFont"/>
    <w:link w:val="Footer"/>
    <w:uiPriority w:val="99"/>
    <w:rsid w:val="00825295"/>
  </w:style>
  <w:style w:type="character" w:styleId="Light" w:customStyle="1">
    <w:name w:val="Light"/>
    <w:uiPriority w:val="23"/>
    <w:qFormat w:val="1"/>
    <w:rsid w:val="00CF24A6"/>
    <w:rPr>
      <w:color w:val="353535"/>
      <w:sz w:val="18"/>
    </w:rPr>
  </w:style>
  <w:style w:type="paragraph" w:styleId="Underline" w:customStyle="1">
    <w:name w:val="Underline"/>
    <w:basedOn w:val="Normal"/>
    <w:uiPriority w:val="3"/>
    <w:qFormat w:val="1"/>
    <w:rsid w:val="00C644E7"/>
    <w:pPr>
      <w:pBdr>
        <w:bottom w:color="e8e8e8" w:space="2" w:sz="8" w:val="single"/>
      </w:pBdr>
    </w:pPr>
  </w:style>
  <w:style w:type="character" w:styleId="PlaceholderText">
    <w:name w:val="Placeholder Text"/>
    <w:uiPriority w:val="99"/>
    <w:semiHidden w:val="1"/>
    <w:rsid w:val="007A2787"/>
    <w:rPr>
      <w:color w:val="808080"/>
    </w:rPr>
  </w:style>
  <w:style w:type="character" w:styleId="Heading1Char" w:customStyle="1">
    <w:name w:val="Heading 1 Char"/>
    <w:link w:val="Heading1"/>
    <w:uiPriority w:val="2"/>
    <w:rsid w:val="00825295"/>
    <w:rPr>
      <w:rFonts w:cs="Times New Roman" w:eastAsia="Franklin Gothic Demi"/>
      <w:b w:val="1"/>
      <w:caps w:val="1"/>
      <w:kern w:val="28"/>
      <w:szCs w:val="56"/>
    </w:rPr>
  </w:style>
  <w:style w:type="character" w:styleId="Heading2Char" w:customStyle="1">
    <w:name w:val="Heading 2 Char"/>
    <w:link w:val="Heading2"/>
    <w:uiPriority w:val="2"/>
    <w:rsid w:val="00825295"/>
    <w:rPr>
      <w:b w:val="1"/>
      <w:caps w:val="1"/>
    </w:rPr>
  </w:style>
  <w:style w:type="paragraph" w:styleId="Normal-Centered" w:customStyle="1">
    <w:name w:val="Normal - Centered"/>
    <w:basedOn w:val="Normal"/>
    <w:qFormat w:val="1"/>
    <w:rsid w:val="00C644E7"/>
    <w:pPr>
      <w:spacing w:after="120"/>
      <w:jc w:val="center"/>
    </w:pPr>
    <w:rPr>
      <w:sz w:val="18"/>
    </w:rPr>
  </w:style>
  <w:style w:type="paragraph" w:styleId="Normal-Light" w:customStyle="1">
    <w:name w:val="Normal - Light"/>
    <w:basedOn w:val="Normal"/>
    <w:qFormat w:val="1"/>
    <w:rsid w:val="005120B5"/>
    <w:pPr>
      <w:jc w:val="center"/>
    </w:pPr>
    <w:rPr>
      <w:i w:val="1"/>
      <w:caps w:val="1"/>
      <w:color w:val="353535"/>
      <w:sz w:val="14"/>
    </w:rPr>
  </w:style>
  <w:style w:type="paragraph" w:styleId="ListParagraph">
    <w:name w:val="List Paragraph"/>
    <w:basedOn w:val="Normal"/>
    <w:uiPriority w:val="34"/>
    <w:qFormat w:val="1"/>
    <w:rsid w:val="003D7B38"/>
    <w:pPr>
      <w:ind w:left="720"/>
      <w:contextualSpacing w:val="1"/>
    </w:pPr>
  </w:style>
  <w:style w:type="character" w:styleId="Style1" w:customStyle="1">
    <w:name w:val="Style1"/>
    <w:uiPriority w:val="1"/>
    <w:rsid w:val="001573F6"/>
    <w:rPr>
      <w:rFonts w:ascii="Arial" w:hAnsi="Arial"/>
      <w:color w:val="000000"/>
      <w:sz w:val="20"/>
    </w:rPr>
  </w:style>
  <w:style w:type="character" w:styleId="Hyperlink">
    <w:name w:val="Hyperlink"/>
    <w:uiPriority w:val="99"/>
    <w:unhideWhenUsed w:val="1"/>
    <w:rsid w:val="00F25133"/>
    <w:rPr>
      <w:color w:val="0000ff"/>
      <w:u w:val="single"/>
    </w:rPr>
  </w:style>
  <w:style w:type="character" w:styleId="UnresolvedMention">
    <w:name w:val="Unresolved Mention"/>
    <w:uiPriority w:val="99"/>
    <w:semiHidden w:val="1"/>
    <w:rsid w:val="00F2513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85.0" w:type="dxa"/>
        <w:bottom w:w="57.0" w:type="dxa"/>
        <w:right w:w="8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85.0" w:type="dxa"/>
        <w:bottom w:w="57.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MwpVQmXrCp9yNxFVmbZ8jKkSQ==">CgMxLjA4AHIhMWFBQ216N2I1Zi1uZ0doUGdSVzFMaFpqQkdjYzYtYXd6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2022-11-10T01:43:00Z</dcterms:created>
</cp:coreProperties>
</file>